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黑体" w:eastAsia="仿宋_GB2312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硕士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研究生国家奖学金审批表</w:t>
      </w:r>
    </w:p>
    <w:tbl>
      <w:tblPr>
        <w:tblStyle w:val="5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979"/>
        <w:gridCol w:w="547"/>
        <w:gridCol w:w="599"/>
        <w:gridCol w:w="1221"/>
        <w:gridCol w:w="333"/>
        <w:gridCol w:w="1364"/>
        <w:gridCol w:w="12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宋寒琪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中共预备党员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旅游与城乡规划学院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旅游管理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管理学硕士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乔光辉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21020060017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19550164537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828" w:type="dxa"/>
            <w:noWrap w:val="0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入校以来，在导师以及学院各位老师的辛勤指导下，我收获了知识也见证了自己的点滴成长。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政治学习方面，本人认真学习党的政治理论知识，积极拥护党和国家的各项路线、方针、政策，并自觉遵守法律、法规和学校的各项规章制度。此外，本人积极向党组织靠拢，并不断提高自己的思想认知。在思想道德方面，本人乐观积极，热爱祖国，拥有良好的道德观和人生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在学习和科研方面，本人认真学习专业知识，并获得了2021-2022学年学业奖学金一等奖，2022年度校优秀研究生称号以及金家麟奖学金二等奖等荣誉。同时，在导师的悉心指导和帮助下，本人分别在《Annals of Tourism Research》（SSCI一区，A++期刊）、《Risk Management and Healthcare Policy》（SSCI二区）以及《Asia Pacific Journal of Tourism Research》（SSCI二区）期刊上</w:t>
            </w:r>
            <w:r>
              <w:rPr>
                <w:rFonts w:hint="eastAsia"/>
                <w:sz w:val="24"/>
                <w:lang w:eastAsia="zh-CN"/>
              </w:rPr>
              <w:t>发表</w:t>
            </w:r>
            <w:r>
              <w:rPr>
                <w:rFonts w:hint="eastAsia"/>
                <w:sz w:val="24"/>
                <w:lang w:val="en-US" w:eastAsia="zh-CN"/>
              </w:rPr>
              <w:t>了学术</w:t>
            </w:r>
            <w:r>
              <w:rPr>
                <w:rFonts w:hint="eastAsia"/>
                <w:sz w:val="24"/>
                <w:lang w:eastAsia="zh-CN"/>
              </w:rPr>
              <w:t>论文，除了核心期刊的论文，</w:t>
            </w:r>
            <w:r>
              <w:rPr>
                <w:rFonts w:hint="eastAsia"/>
                <w:sz w:val="24"/>
                <w:lang w:val="en-US" w:eastAsia="zh-CN"/>
              </w:rPr>
              <w:t>本人也参与了会议论文的投稿，并获得了</w:t>
            </w:r>
            <w:r>
              <w:rPr>
                <w:rFonts w:hint="eastAsia"/>
                <w:sz w:val="24"/>
                <w:lang w:eastAsia="zh-CN"/>
              </w:rPr>
              <w:t>中国留韩经济管理年会优秀论文二等奖</w:t>
            </w:r>
            <w:r>
              <w:rPr>
                <w:rFonts w:hint="eastAsia"/>
                <w:sz w:val="24"/>
                <w:lang w:val="en-US" w:eastAsia="zh-CN"/>
              </w:rPr>
              <w:t>以及浙江省休闲学会会议论文二等奖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此外，本人作为小组成员参与了省文旅厅的专项课题。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此外，本人也积极参加学校和学院组织的各项活动，并先后获得校卡尔·马克思杯思政理论知识竞赛二等奖，院理论宣讲大赛二等奖，院旅游杯三等奖等荣誉。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综合以上各方面，特此提出对2023年度国家奖学金的申请。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  <w:lang w:val="en-US" w:eastAsia="zh-CN"/>
              </w:rPr>
              <w:t>宋寒琪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The "unseen" tourism: Travel experience of people with visual impairment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Annals of Tourism Research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2023.03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SSCI一区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（导师一作）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Gamification innovation: understanding industrial tourism products and tourist response 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Asia Pacific Journal of Tourism Research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2023.03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SSCI二区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3/5（导师通讯）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Enhancing Literature Review and Understanding Under Global Pandemic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Risk Management and Healthcare Policy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2023.02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SSCI二区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2/4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（导师一作）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社会旅游发展与居民幸福感研究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漫旅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2022.08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2/3（导师一作）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社会旅游视角下提升低收入群体幸福感的公共服务管理研究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浙江省文化和旅游厅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2021KYY025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3/6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i w:val="0"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2022.11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i w:val="0"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志愿者互动的意义：视障游客视角下的旅游体验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i w:val="0"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浙江省休闲学会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i w:val="0"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二等奖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i w:val="0"/>
                <w:iCs/>
                <w:color w:val="auto"/>
                <w:sz w:val="24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</w:rPr>
              <w:t>（3/3）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2022.06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基于混合研究的志愿者互动对视障者旅游体验的影响研究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</w:rPr>
              <w:t>中</w:t>
            </w: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国留</w:t>
            </w:r>
            <w:r>
              <w:rPr>
                <w:rFonts w:hint="eastAsia"/>
                <w:i w:val="0"/>
                <w:iCs/>
                <w:color w:val="auto"/>
                <w:sz w:val="24"/>
              </w:rPr>
              <w:t>韩经济管理年会</w:t>
            </w: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理事会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lang w:val="en-US" w:eastAsia="zh-CN"/>
              </w:rPr>
              <w:t>二等奖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</w:rPr>
              <w:t>（3/3）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28" w:type="dxa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9103" w:type="dxa"/>
            <w:gridSpan w:val="10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（除上述以外的科研，如专利、科技推广等工作，请提供证明）</w:t>
            </w: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8" w:type="dxa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在社会实践方面，</w:t>
            </w:r>
            <w:r>
              <w:rPr>
                <w:rFonts w:hint="eastAsia"/>
                <w:sz w:val="24"/>
                <w:lang w:val="en-US" w:eastAsia="zh-CN"/>
              </w:rPr>
              <w:t>本人目前担任院研究生会办公室负责人一职，在职期间积极协助研究生会以及学院组织各项学生活动。同时，本人</w:t>
            </w:r>
            <w:r>
              <w:rPr>
                <w:rFonts w:hint="eastAsia"/>
                <w:sz w:val="24"/>
                <w:lang w:eastAsia="zh-CN"/>
              </w:rPr>
              <w:t>也积极参与各项志愿</w:t>
            </w:r>
            <w:r>
              <w:rPr>
                <w:rFonts w:hint="eastAsia"/>
                <w:sz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lang w:eastAsia="zh-CN"/>
              </w:rPr>
              <w:t>，目前</w:t>
            </w:r>
            <w:r>
              <w:rPr>
                <w:rFonts w:hint="eastAsia"/>
                <w:sz w:val="24"/>
                <w:lang w:val="en-US" w:eastAsia="zh-CN"/>
              </w:rPr>
              <w:t>累计</w:t>
            </w:r>
            <w:r>
              <w:rPr>
                <w:rFonts w:hint="eastAsia"/>
                <w:sz w:val="24"/>
                <w:lang w:eastAsia="zh-CN"/>
              </w:rPr>
              <w:t>获</w:t>
            </w:r>
            <w:r>
              <w:rPr>
                <w:rFonts w:hint="eastAsia"/>
                <w:sz w:val="24"/>
                <w:lang w:val="en-US" w:eastAsia="zh-CN"/>
              </w:rPr>
              <w:t>得</w:t>
            </w:r>
            <w:r>
              <w:rPr>
                <w:rFonts w:hint="eastAsia"/>
                <w:sz w:val="24"/>
                <w:lang w:eastAsia="zh-CN"/>
              </w:rPr>
              <w:t>志愿时长</w:t>
            </w:r>
            <w:r>
              <w:rPr>
                <w:rFonts w:hint="eastAsia"/>
                <w:sz w:val="24"/>
                <w:lang w:val="en-US" w:eastAsia="zh-CN"/>
              </w:rPr>
              <w:t>已超过80</w:t>
            </w:r>
            <w:r>
              <w:rPr>
                <w:rFonts w:hint="eastAsia"/>
                <w:sz w:val="24"/>
                <w:lang w:eastAsia="zh-CN"/>
              </w:rPr>
              <w:t>小时。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931" w:type="dxa"/>
            <w:gridSpan w:val="11"/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对以上成果真实性及科学道德的审查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drawing>
                <wp:inline distT="0" distB="0" distL="114300" distR="114300">
                  <wp:extent cx="939800" cy="374650"/>
                  <wp:effectExtent l="0" t="0" r="0" b="6350"/>
                  <wp:docPr id="1" name="图片 1" descr="b772e70c424d53fd7db9760c1a3e4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772e70c424d53fd7db9760c1a3e4e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</w:p>
          <w:p>
            <w:pPr>
              <w:ind w:firstLine="1200" w:firstLineChars="5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tbl>
      <w:tblPr>
        <w:tblStyle w:val="5"/>
        <w:tblpPr w:leftFromText="180" w:rightFromText="180" w:vertAnchor="text" w:horzAnchor="page" w:tblpX="1242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该生思想端正，踏实认真，具备良好的思想道德素质。自入学以来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该生努力学习专业知识，在认真完成研究生课程之余，</w:t>
            </w:r>
            <w:r>
              <w:rPr>
                <w:rFonts w:hint="eastAsia" w:ascii="宋体" w:hAnsi="宋体"/>
                <w:sz w:val="24"/>
                <w:lang w:eastAsia="zh-CN"/>
              </w:rPr>
              <w:t>认真研读文献，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不断夯实自己的专业基础和科研能力。另外，该生也积极参与科创活动，认真完成科研项目</w:t>
            </w:r>
            <w:r>
              <w:rPr>
                <w:rFonts w:hint="eastAsia" w:ascii="宋体" w:hAnsi="宋体"/>
                <w:sz w:val="24"/>
                <w:lang w:eastAsia="zh-CN"/>
              </w:rPr>
              <w:t>等工作。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在社会实践方面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该生</w:t>
            </w:r>
            <w:r>
              <w:rPr>
                <w:rFonts w:hint="eastAsia" w:ascii="宋体" w:hAnsi="宋体"/>
                <w:sz w:val="24"/>
                <w:lang w:eastAsia="zh-CN"/>
              </w:rPr>
              <w:t>积极参与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学校及学院的各项活动以及</w:t>
            </w:r>
            <w:r>
              <w:rPr>
                <w:rFonts w:hint="eastAsia" w:ascii="宋体" w:hAnsi="宋体"/>
                <w:sz w:val="24"/>
                <w:lang w:eastAsia="zh-CN"/>
              </w:rPr>
              <w:t>志愿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基于上述情况，</w:t>
            </w:r>
            <w:r>
              <w:rPr>
                <w:rFonts w:hint="eastAsia" w:ascii="宋体" w:hAnsi="宋体"/>
                <w:sz w:val="24"/>
                <w:lang w:eastAsia="zh-CN"/>
              </w:rPr>
              <w:t>本人推荐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该生</w:t>
            </w:r>
            <w:r>
              <w:rPr>
                <w:rFonts w:hint="eastAsia" w:ascii="宋体" w:hAnsi="宋体"/>
                <w:sz w:val="24"/>
                <w:lang w:eastAsia="zh-CN"/>
              </w:rPr>
              <w:t>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请国家</w:t>
            </w:r>
            <w:r>
              <w:rPr>
                <w:rFonts w:hint="eastAsia" w:ascii="宋体" w:hAnsi="宋体"/>
                <w:sz w:val="24"/>
                <w:lang w:eastAsia="zh-CN"/>
              </w:rPr>
              <w:t>奖学金。</w:t>
            </w:r>
          </w:p>
          <w:p>
            <w:pPr>
              <w:spacing w:after="312" w:afterLines="100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</w:t>
            </w:r>
            <w:bookmarkStart w:id="0" w:name="_GoBack"/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939800" cy="374650"/>
                  <wp:effectExtent l="0" t="0" r="0" b="6350"/>
                  <wp:docPr id="2" name="图片 2" descr="b772e70c424d53fd7db9760c1a3e4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772e70c424d53fd7db9760c1a3e4e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个工作日，无异议，本单位推荐该同学申报研究生国家奖学金。现报请研究生国家奖学金评审领导小组复审和审定。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（学院公章）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>备注：(1)已发表</w:t>
      </w:r>
      <w:r>
        <w:rPr>
          <w:rFonts w:hint="eastAsia"/>
          <w:sz w:val="21"/>
          <w:szCs w:val="21"/>
          <w:lang w:eastAsia="zh-CN"/>
        </w:rPr>
        <w:t>的中文</w:t>
      </w:r>
      <w:r>
        <w:rPr>
          <w:rFonts w:hint="eastAsia"/>
          <w:sz w:val="21"/>
          <w:szCs w:val="21"/>
        </w:rPr>
        <w:t>论文提供论文</w:t>
      </w:r>
      <w:r>
        <w:rPr>
          <w:rFonts w:hint="eastAsia"/>
          <w:b w:val="0"/>
          <w:bCs w:val="0"/>
          <w:sz w:val="21"/>
          <w:szCs w:val="21"/>
        </w:rPr>
        <w:t>复印件(封面、目录、论文全文、封底)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eastAsia="zh-CN"/>
        </w:rPr>
        <w:t>外文期刊须附有检索证明。</w:t>
      </w: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eastAsia="zh-CN"/>
        </w:rPr>
        <w:t>若为通讯作者，也须提供证明。（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申报论文按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级别由高到</w:t>
      </w:r>
      <w:r>
        <w:rPr>
          <w:rFonts w:hint="eastAsia"/>
          <w:sz w:val="21"/>
          <w:szCs w:val="21"/>
          <w:lang w:eastAsia="zh-CN"/>
        </w:rPr>
        <w:t>低</w:t>
      </w:r>
      <w:r>
        <w:rPr>
          <w:rFonts w:hint="eastAsia"/>
          <w:sz w:val="21"/>
          <w:szCs w:val="21"/>
        </w:rPr>
        <w:t>排序，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级别由学院科研秘书按照</w:t>
      </w:r>
      <w:r>
        <w:rPr>
          <w:rFonts w:hint="eastAsia"/>
          <w:sz w:val="21"/>
          <w:szCs w:val="21"/>
          <w:lang w:val="en-US" w:eastAsia="zh-CN"/>
        </w:rPr>
        <w:t>最新</w:t>
      </w:r>
      <w:r>
        <w:rPr>
          <w:rFonts w:hint="eastAsia"/>
          <w:sz w:val="21"/>
          <w:szCs w:val="21"/>
        </w:rPr>
        <w:t>校科研成果考核标准统一填写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)须提供读研期间的有补考栏的原始成绩单一份（在学院教学秘书处打印并盖学院公章）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)此表一式两份。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WFhNzVjOTFhNjI4MGM0MmU3M2Y3OTBmZDhhY2MifQ=="/>
  </w:docVars>
  <w:rsids>
    <w:rsidRoot w:val="00067018"/>
    <w:rsid w:val="00014132"/>
    <w:rsid w:val="00067018"/>
    <w:rsid w:val="00190A64"/>
    <w:rsid w:val="00194C68"/>
    <w:rsid w:val="002761C7"/>
    <w:rsid w:val="0030691E"/>
    <w:rsid w:val="003800EF"/>
    <w:rsid w:val="0040569B"/>
    <w:rsid w:val="0040649B"/>
    <w:rsid w:val="00501D06"/>
    <w:rsid w:val="0055361C"/>
    <w:rsid w:val="005A40E5"/>
    <w:rsid w:val="005C7113"/>
    <w:rsid w:val="005E639E"/>
    <w:rsid w:val="00651DD9"/>
    <w:rsid w:val="006C4906"/>
    <w:rsid w:val="00703918"/>
    <w:rsid w:val="0082470E"/>
    <w:rsid w:val="009B5132"/>
    <w:rsid w:val="00A024D5"/>
    <w:rsid w:val="00B07A08"/>
    <w:rsid w:val="00BC2B2B"/>
    <w:rsid w:val="00C93C46"/>
    <w:rsid w:val="00CF1DF3"/>
    <w:rsid w:val="00D2188C"/>
    <w:rsid w:val="00EF33EF"/>
    <w:rsid w:val="00F65B78"/>
    <w:rsid w:val="0320140A"/>
    <w:rsid w:val="036C3B5C"/>
    <w:rsid w:val="03B23D1D"/>
    <w:rsid w:val="04C26040"/>
    <w:rsid w:val="06AA6B68"/>
    <w:rsid w:val="081013C5"/>
    <w:rsid w:val="0C281F69"/>
    <w:rsid w:val="1330009C"/>
    <w:rsid w:val="190510B6"/>
    <w:rsid w:val="19E268AB"/>
    <w:rsid w:val="1BBB4438"/>
    <w:rsid w:val="1C755CEC"/>
    <w:rsid w:val="1EB50789"/>
    <w:rsid w:val="1EFD041A"/>
    <w:rsid w:val="1FFF1C86"/>
    <w:rsid w:val="255A5E06"/>
    <w:rsid w:val="269E5A77"/>
    <w:rsid w:val="2D26186B"/>
    <w:rsid w:val="2EE11BB1"/>
    <w:rsid w:val="320D0A76"/>
    <w:rsid w:val="39B2374A"/>
    <w:rsid w:val="404B7EB0"/>
    <w:rsid w:val="452176B9"/>
    <w:rsid w:val="4646664A"/>
    <w:rsid w:val="49935064"/>
    <w:rsid w:val="4AC22AE7"/>
    <w:rsid w:val="4C717056"/>
    <w:rsid w:val="5168118A"/>
    <w:rsid w:val="52AC040D"/>
    <w:rsid w:val="5F414126"/>
    <w:rsid w:val="625A0B74"/>
    <w:rsid w:val="66664905"/>
    <w:rsid w:val="67E03B42"/>
    <w:rsid w:val="681B59F0"/>
    <w:rsid w:val="6C691A94"/>
    <w:rsid w:val="72B50B7E"/>
    <w:rsid w:val="7D01364F"/>
    <w:rsid w:val="7D594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1546</Words>
  <Characters>2014</Characters>
  <Lines>8</Lines>
  <Paragraphs>2</Paragraphs>
  <TotalTime>4</TotalTime>
  <ScaleCrop>false</ScaleCrop>
  <LinksUpToDate>false</LinksUpToDate>
  <CharactersWithSpaces>2410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2013-01-26T07:41:00Z</dcterms:created>
  <dc:creator>微软用户</dc:creator>
  <cp:lastModifiedBy>shq</cp:lastModifiedBy>
  <cp:lastPrinted>2022-09-28T01:06:00Z</cp:lastPrinted>
  <dcterms:modified xsi:type="dcterms:W3CDTF">2023-09-18T07:07:44Z</dcterms:modified>
  <dc:title>          2012年研究生国家奖学金审批表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2AD8AC988B4E4A898B665AF3C6D998F6_13</vt:lpwstr>
  </property>
</Properties>
</file>