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0"/>
          <w:szCs w:val="30"/>
        </w:rPr>
      </w:pPr>
      <w:r>
        <w:rPr>
          <w:rFonts w:hint="eastAsia" w:ascii="宋体" w:hAnsi="宋体"/>
          <w:b/>
          <w:sz w:val="30"/>
          <w:szCs w:val="30"/>
        </w:rPr>
        <w:t>浙江工商大学</w:t>
      </w:r>
      <w:r>
        <w:rPr>
          <w:rFonts w:hint="eastAsia" w:ascii="宋体" w:hAnsi="宋体"/>
          <w:b/>
          <w:sz w:val="30"/>
          <w:szCs w:val="30"/>
          <w:lang w:eastAsia="zh-CN"/>
        </w:rPr>
        <w:t>旅游与城乡规划学院</w:t>
      </w:r>
      <w:r>
        <w:rPr>
          <w:rFonts w:hint="eastAsia" w:ascii="宋体" w:hAnsi="宋体"/>
          <w:b/>
          <w:sz w:val="30"/>
          <w:szCs w:val="30"/>
        </w:rPr>
        <w:t>研究生综合素质测评办法</w:t>
      </w:r>
    </w:p>
    <w:p>
      <w:pPr>
        <w:spacing w:line="360" w:lineRule="auto"/>
        <w:jc w:val="center"/>
        <w:rPr>
          <w:rFonts w:hint="eastAsia" w:ascii="宋体" w:eastAsia="宋体"/>
          <w:b/>
          <w:sz w:val="30"/>
          <w:szCs w:val="30"/>
          <w:lang w:eastAsia="zh-CN"/>
        </w:rPr>
      </w:pPr>
      <w:r>
        <w:rPr>
          <w:rFonts w:hint="eastAsia" w:ascii="宋体" w:hAnsi="宋体"/>
          <w:b/>
          <w:sz w:val="30"/>
          <w:szCs w:val="30"/>
          <w:lang w:eastAsia="zh-CN"/>
        </w:rPr>
        <w:t>（试行）</w:t>
      </w:r>
    </w:p>
    <w:p>
      <w:pPr>
        <w:pStyle w:val="3"/>
        <w:jc w:val="center"/>
      </w:pPr>
      <w:r>
        <w:rPr>
          <w:rFonts w:hint="eastAsia"/>
        </w:rPr>
        <w:t>第一章</w:t>
      </w:r>
      <w:r>
        <w:t xml:space="preserve">  </w:t>
      </w:r>
      <w:r>
        <w:rPr>
          <w:rFonts w:hint="eastAsia"/>
        </w:rPr>
        <w:t>总则</w:t>
      </w:r>
    </w:p>
    <w:p>
      <w:pPr>
        <w:widowControl/>
        <w:ind w:firstLine="562" w:firstLineChars="200"/>
        <w:jc w:val="left"/>
        <w:rPr>
          <w:rFonts w:ascii="宋体" w:cs="宋体"/>
          <w:kern w:val="0"/>
          <w:sz w:val="28"/>
          <w:szCs w:val="28"/>
        </w:rPr>
      </w:pPr>
      <w:r>
        <w:rPr>
          <w:rFonts w:hint="eastAsia" w:ascii="宋体" w:hAnsi="宋体"/>
          <w:b/>
          <w:sz w:val="28"/>
          <w:szCs w:val="28"/>
        </w:rPr>
        <w:t>第一条</w:t>
      </w:r>
      <w:r>
        <w:rPr>
          <w:rFonts w:ascii="宋体" w:hAnsi="宋体"/>
          <w:b/>
          <w:sz w:val="28"/>
          <w:szCs w:val="28"/>
        </w:rPr>
        <w:t xml:space="preserve"> </w:t>
      </w:r>
      <w:r>
        <w:rPr>
          <w:rFonts w:hint="eastAsia" w:ascii="宋体" w:hAnsi="宋体" w:cs="宋体"/>
          <w:kern w:val="0"/>
          <w:sz w:val="28"/>
          <w:szCs w:val="28"/>
        </w:rPr>
        <w:t>根据党的教育方针，围绕培养德智体全面发展人才的需要，鼓励研究生向思想品德素质好、专业学术素养高、研究创新能力强、身体心理健康的高素质研究型人才方向前进，使研究生在校期间表现有一个公平、公开、公正的客观评价标准，</w:t>
      </w:r>
      <w:r>
        <w:rPr>
          <w:rFonts w:hint="eastAsia" w:ascii="宋体" w:hAnsi="宋体"/>
          <w:sz w:val="28"/>
          <w:szCs w:val="28"/>
        </w:rPr>
        <w:t>结合我院研究生实际情况，</w:t>
      </w:r>
      <w:r>
        <w:rPr>
          <w:rFonts w:hint="eastAsia" w:ascii="宋体" w:hAnsi="宋体" w:cs="宋体"/>
          <w:kern w:val="0"/>
          <w:sz w:val="28"/>
          <w:szCs w:val="28"/>
        </w:rPr>
        <w:t>特制定本测评办法。</w:t>
      </w:r>
    </w:p>
    <w:p>
      <w:pPr>
        <w:ind w:firstLine="422" w:firstLineChars="150"/>
        <w:rPr>
          <w:rFonts w:ascii="宋体" w:cs="Tahoma"/>
          <w:color w:val="000000"/>
          <w:sz w:val="28"/>
          <w:szCs w:val="28"/>
        </w:rPr>
      </w:pPr>
      <w:r>
        <w:rPr>
          <w:rFonts w:hint="eastAsia" w:ascii="宋体" w:hAnsi="宋体"/>
          <w:b/>
          <w:sz w:val="28"/>
          <w:szCs w:val="28"/>
        </w:rPr>
        <w:t>第二条</w:t>
      </w:r>
      <w:r>
        <w:rPr>
          <w:rFonts w:ascii="宋体" w:hAnsi="宋体"/>
          <w:b/>
          <w:sz w:val="28"/>
          <w:szCs w:val="28"/>
        </w:rPr>
        <w:t xml:space="preserve"> </w:t>
      </w:r>
      <w:r>
        <w:rPr>
          <w:rFonts w:hint="eastAsia" w:ascii="宋体" w:hAnsi="宋体" w:cs="宋体"/>
          <w:kern w:val="0"/>
          <w:sz w:val="28"/>
          <w:szCs w:val="28"/>
        </w:rPr>
        <w:t>本办法适用于自</w:t>
      </w:r>
      <w:r>
        <w:rPr>
          <w:rFonts w:ascii="宋体" w:hAnsi="宋体" w:cs="宋体"/>
          <w:kern w:val="0"/>
          <w:sz w:val="28"/>
          <w:szCs w:val="28"/>
        </w:rPr>
        <w:t>2014</w:t>
      </w:r>
      <w:r>
        <w:rPr>
          <w:rFonts w:hint="eastAsia" w:ascii="宋体" w:hAnsi="宋体" w:cs="宋体"/>
          <w:kern w:val="0"/>
          <w:sz w:val="28"/>
          <w:szCs w:val="28"/>
        </w:rPr>
        <w:t>年秋季入学的具有中华人民共和国国籍、纳入我校全国研究生招生计划、全日制（全脱产）培养、非定向就业的</w:t>
      </w:r>
      <w:r>
        <w:rPr>
          <w:rFonts w:hint="eastAsia" w:ascii="宋体" w:hAnsi="宋体" w:cs="宋体"/>
          <w:kern w:val="0"/>
          <w:sz w:val="28"/>
          <w:szCs w:val="28"/>
          <w:lang w:eastAsia="zh-CN"/>
        </w:rPr>
        <w:t>旅游与城乡规划学院</w:t>
      </w:r>
      <w:r>
        <w:rPr>
          <w:rFonts w:hint="eastAsia" w:ascii="宋体" w:hAnsi="宋体" w:cs="宋体"/>
          <w:kern w:val="0"/>
          <w:sz w:val="28"/>
          <w:szCs w:val="28"/>
        </w:rPr>
        <w:t>在校研究生（旅游管理专业学位研究生除外）。</w:t>
      </w:r>
    </w:p>
    <w:p>
      <w:pPr>
        <w:ind w:firstLine="422" w:firstLineChars="150"/>
        <w:rPr>
          <w:rFonts w:ascii="宋体"/>
          <w:sz w:val="28"/>
          <w:szCs w:val="28"/>
        </w:rPr>
      </w:pPr>
      <w:r>
        <w:rPr>
          <w:rFonts w:hint="eastAsia" w:ascii="宋体" w:hAnsi="宋体"/>
          <w:b/>
          <w:sz w:val="28"/>
          <w:szCs w:val="28"/>
        </w:rPr>
        <w:t>第三条</w:t>
      </w:r>
      <w:r>
        <w:rPr>
          <w:rFonts w:ascii="宋体" w:hAnsi="宋体"/>
          <w:b/>
          <w:sz w:val="28"/>
          <w:szCs w:val="28"/>
        </w:rPr>
        <w:t xml:space="preserve"> </w:t>
      </w:r>
      <w:r>
        <w:rPr>
          <w:rFonts w:hint="eastAsia" w:ascii="宋体" w:hAnsi="宋体"/>
          <w:sz w:val="28"/>
          <w:szCs w:val="28"/>
        </w:rPr>
        <w:t>研究生综合素质测评（以下简称“素质测评”）是以考核与评价研究生全面素质为目标，以定量与定性、记实与评议相结合的方法，对研究生的思想品德素质、专业素质、素质拓展和科研创新素质进行测评。</w:t>
      </w:r>
    </w:p>
    <w:p>
      <w:pPr>
        <w:pStyle w:val="3"/>
        <w:jc w:val="center"/>
      </w:pPr>
      <w:r>
        <w:rPr>
          <w:rFonts w:hint="eastAsia"/>
        </w:rPr>
        <w:t>第二章</w:t>
      </w:r>
      <w:r>
        <w:t xml:space="preserve">  </w:t>
      </w:r>
      <w:r>
        <w:rPr>
          <w:rFonts w:hint="eastAsia"/>
        </w:rPr>
        <w:t>综合素质测评指标体系与测评方法</w:t>
      </w:r>
    </w:p>
    <w:p>
      <w:pPr>
        <w:spacing w:line="360" w:lineRule="auto"/>
        <w:ind w:firstLine="422" w:firstLineChars="150"/>
        <w:rPr>
          <w:rFonts w:ascii="宋体"/>
          <w:sz w:val="28"/>
          <w:szCs w:val="28"/>
        </w:rPr>
      </w:pPr>
      <w:r>
        <w:rPr>
          <w:rFonts w:hint="eastAsia" w:ascii="宋体" w:hAnsi="宋体"/>
          <w:b/>
          <w:sz w:val="28"/>
          <w:szCs w:val="28"/>
        </w:rPr>
        <w:t>第四条</w:t>
      </w:r>
      <w:r>
        <w:rPr>
          <w:rFonts w:ascii="宋体" w:hAnsi="宋体"/>
          <w:b/>
          <w:sz w:val="28"/>
          <w:szCs w:val="28"/>
        </w:rPr>
        <w:t xml:space="preserve"> </w:t>
      </w:r>
      <w:r>
        <w:rPr>
          <w:rFonts w:hint="eastAsia" w:ascii="宋体" w:hAnsi="宋体"/>
          <w:sz w:val="28"/>
          <w:szCs w:val="28"/>
        </w:rPr>
        <w:t>研究生综合素质测评指标体系设置德育模块、智育模块、素质拓展模块和创新模块四个一级指标。其中，德育模块占</w:t>
      </w:r>
      <w:r>
        <w:rPr>
          <w:rFonts w:ascii="宋体" w:hAnsi="宋体"/>
          <w:sz w:val="28"/>
          <w:szCs w:val="28"/>
        </w:rPr>
        <w:t>25%</w:t>
      </w:r>
      <w:r>
        <w:rPr>
          <w:rFonts w:hint="eastAsia" w:ascii="宋体" w:hAnsi="宋体"/>
          <w:sz w:val="28"/>
          <w:szCs w:val="28"/>
        </w:rPr>
        <w:t>；智育模块占</w:t>
      </w:r>
      <w:r>
        <w:rPr>
          <w:rFonts w:ascii="宋体" w:hAnsi="宋体"/>
          <w:sz w:val="28"/>
          <w:szCs w:val="28"/>
        </w:rPr>
        <w:t>45%</w:t>
      </w:r>
      <w:r>
        <w:rPr>
          <w:rFonts w:hint="eastAsia" w:ascii="宋体" w:hAnsi="宋体"/>
          <w:sz w:val="28"/>
          <w:szCs w:val="28"/>
        </w:rPr>
        <w:t>；素质拓展模块占</w:t>
      </w:r>
      <w:r>
        <w:rPr>
          <w:rFonts w:ascii="宋体" w:hAnsi="宋体"/>
          <w:sz w:val="28"/>
          <w:szCs w:val="28"/>
        </w:rPr>
        <w:t>30%</w:t>
      </w:r>
      <w:r>
        <w:rPr>
          <w:rFonts w:hint="eastAsia" w:ascii="宋体" w:hAnsi="宋体"/>
          <w:sz w:val="28"/>
          <w:szCs w:val="28"/>
        </w:rPr>
        <w:t>；创新模块不设权重。即：学年综合素质测评成绩</w:t>
      </w:r>
      <w:r>
        <w:rPr>
          <w:rFonts w:ascii="宋体" w:hAnsi="宋体"/>
          <w:sz w:val="28"/>
          <w:szCs w:val="28"/>
        </w:rPr>
        <w:t>=</w:t>
      </w:r>
      <w:r>
        <w:rPr>
          <w:rFonts w:hint="eastAsia" w:ascii="宋体" w:hAnsi="宋体"/>
          <w:sz w:val="28"/>
          <w:szCs w:val="28"/>
        </w:rPr>
        <w:t>德育模块分×</w:t>
      </w:r>
      <w:r>
        <w:rPr>
          <w:rFonts w:ascii="宋体" w:hAnsi="宋体"/>
          <w:sz w:val="28"/>
          <w:szCs w:val="28"/>
        </w:rPr>
        <w:t>25%+</w:t>
      </w:r>
      <w:r>
        <w:rPr>
          <w:rFonts w:hint="eastAsia" w:ascii="宋体" w:hAnsi="宋体"/>
          <w:sz w:val="28"/>
          <w:szCs w:val="28"/>
        </w:rPr>
        <w:t>智育模块分×</w:t>
      </w:r>
      <w:r>
        <w:rPr>
          <w:rFonts w:ascii="宋体" w:hAnsi="宋体"/>
          <w:sz w:val="28"/>
          <w:szCs w:val="28"/>
        </w:rPr>
        <w:t>45%+</w:t>
      </w:r>
      <w:r>
        <w:rPr>
          <w:rFonts w:hint="eastAsia" w:ascii="宋体" w:hAnsi="宋体"/>
          <w:sz w:val="28"/>
          <w:szCs w:val="28"/>
        </w:rPr>
        <w:t>素质拓展分×</w:t>
      </w:r>
      <w:r>
        <w:rPr>
          <w:rFonts w:ascii="宋体" w:hAnsi="宋体"/>
          <w:sz w:val="28"/>
          <w:szCs w:val="28"/>
        </w:rPr>
        <w:t>30%+</w:t>
      </w:r>
      <w:r>
        <w:rPr>
          <w:rFonts w:hint="eastAsia" w:ascii="宋体" w:hAnsi="宋体"/>
          <w:sz w:val="28"/>
          <w:szCs w:val="28"/>
        </w:rPr>
        <w:t>创新模块分。</w:t>
      </w:r>
    </w:p>
    <w:p>
      <w:pPr>
        <w:spacing w:line="360" w:lineRule="auto"/>
        <w:ind w:firstLine="422" w:firstLineChars="150"/>
        <w:rPr>
          <w:rFonts w:ascii="宋体"/>
          <w:sz w:val="28"/>
          <w:szCs w:val="28"/>
        </w:rPr>
      </w:pPr>
      <w:r>
        <w:rPr>
          <w:rFonts w:hint="eastAsia" w:ascii="宋体" w:hAnsi="宋体"/>
          <w:b/>
          <w:sz w:val="28"/>
          <w:szCs w:val="28"/>
        </w:rPr>
        <w:t>第五条</w:t>
      </w:r>
      <w:r>
        <w:rPr>
          <w:rFonts w:ascii="宋体" w:hAnsi="宋体"/>
          <w:sz w:val="28"/>
          <w:szCs w:val="28"/>
        </w:rPr>
        <w:t xml:space="preserve"> </w:t>
      </w:r>
      <w:r>
        <w:rPr>
          <w:rFonts w:hint="eastAsia" w:ascii="宋体" w:hAnsi="宋体" w:cs="宋体"/>
          <w:kern w:val="0"/>
          <w:sz w:val="28"/>
          <w:szCs w:val="28"/>
        </w:rPr>
        <w:t>德育模块分，占</w:t>
      </w:r>
      <w:r>
        <w:rPr>
          <w:rFonts w:ascii="宋体" w:hAnsi="宋体" w:cs="宋体"/>
          <w:kern w:val="0"/>
          <w:sz w:val="28"/>
          <w:szCs w:val="28"/>
        </w:rPr>
        <w:t>25%</w:t>
      </w:r>
      <w:r>
        <w:rPr>
          <w:rFonts w:hint="eastAsia" w:ascii="宋体" w:hAnsi="宋体" w:cs="宋体"/>
          <w:kern w:val="0"/>
          <w:sz w:val="28"/>
          <w:szCs w:val="28"/>
        </w:rPr>
        <w:t>。计算方法为：德育模块分</w:t>
      </w:r>
      <w:r>
        <w:rPr>
          <w:rFonts w:ascii="宋体" w:hAnsi="宋体" w:cs="宋体"/>
          <w:kern w:val="0"/>
          <w:sz w:val="28"/>
          <w:szCs w:val="28"/>
        </w:rPr>
        <w:t>=</w:t>
      </w:r>
      <w:r>
        <w:rPr>
          <w:rFonts w:hint="eastAsia" w:ascii="宋体" w:hAnsi="宋体" w:cs="宋体"/>
          <w:kern w:val="0"/>
          <w:sz w:val="28"/>
          <w:szCs w:val="28"/>
        </w:rPr>
        <w:t>公益</w:t>
      </w:r>
      <w:r>
        <w:rPr>
          <w:rFonts w:hint="eastAsia" w:ascii="宋体" w:hAnsi="宋体" w:cs="宋体"/>
          <w:kern w:val="0"/>
          <w:sz w:val="28"/>
          <w:szCs w:val="28"/>
          <w:lang w:eastAsia="zh-CN"/>
        </w:rPr>
        <w:t>类</w:t>
      </w:r>
      <w:r>
        <w:rPr>
          <w:rFonts w:hint="eastAsia" w:ascii="宋体" w:hAnsi="宋体" w:cs="宋体"/>
          <w:kern w:val="0"/>
          <w:sz w:val="28"/>
          <w:szCs w:val="28"/>
        </w:rPr>
        <w:t>活动计分</w:t>
      </w:r>
      <w:r>
        <w:rPr>
          <w:rFonts w:ascii="宋体" w:hAnsi="宋体" w:cs="宋体"/>
          <w:kern w:val="0"/>
          <w:sz w:val="28"/>
          <w:szCs w:val="28"/>
        </w:rPr>
        <w:t>+</w:t>
      </w:r>
      <w:r>
        <w:rPr>
          <w:rFonts w:hint="eastAsia" w:ascii="宋体" w:hAnsi="宋体" w:cs="宋体"/>
          <w:kern w:val="0"/>
          <w:sz w:val="28"/>
          <w:szCs w:val="28"/>
        </w:rPr>
        <w:t>思想品德得分</w:t>
      </w:r>
      <w:r>
        <w:rPr>
          <w:rFonts w:ascii="宋体" w:cs="宋体"/>
          <w:kern w:val="0"/>
          <w:sz w:val="28"/>
          <w:szCs w:val="28"/>
        </w:rPr>
        <w:t>-</w:t>
      </w:r>
      <w:r>
        <w:rPr>
          <w:rFonts w:hint="eastAsia" w:ascii="宋体" w:hAnsi="宋体" w:cs="宋体"/>
          <w:kern w:val="0"/>
          <w:sz w:val="28"/>
          <w:szCs w:val="28"/>
        </w:rPr>
        <w:t>减分项。</w:t>
      </w:r>
    </w:p>
    <w:p>
      <w:pPr>
        <w:widowControl/>
        <w:spacing w:line="360" w:lineRule="auto"/>
        <w:ind w:firstLine="562" w:firstLineChars="200"/>
        <w:jc w:val="left"/>
        <w:rPr>
          <w:rFonts w:ascii="宋体"/>
          <w:b/>
          <w:bCs/>
          <w:sz w:val="28"/>
          <w:szCs w:val="28"/>
        </w:rPr>
      </w:pPr>
      <w:r>
        <w:rPr>
          <w:rFonts w:hint="eastAsia" w:ascii="宋体" w:hAnsi="宋体"/>
          <w:b/>
          <w:bCs/>
          <w:sz w:val="28"/>
          <w:szCs w:val="28"/>
        </w:rPr>
        <w:t>一、</w:t>
      </w:r>
      <w:r>
        <w:rPr>
          <w:rFonts w:hint="eastAsia" w:ascii="宋体" w:hAnsi="宋体"/>
          <w:b/>
          <w:bCs/>
          <w:sz w:val="28"/>
          <w:szCs w:val="28"/>
          <w:lang w:eastAsia="zh-CN"/>
        </w:rPr>
        <w:t>公益类活动</w:t>
      </w:r>
      <w:r>
        <w:rPr>
          <w:rFonts w:hint="eastAsia" w:ascii="宋体" w:hAnsi="宋体"/>
          <w:b/>
          <w:bCs/>
          <w:sz w:val="28"/>
          <w:szCs w:val="28"/>
        </w:rPr>
        <w:t>计分</w:t>
      </w:r>
    </w:p>
    <w:p>
      <w:pPr>
        <w:widowControl/>
        <w:spacing w:line="360" w:lineRule="auto"/>
        <w:ind w:firstLine="560" w:firstLineChars="200"/>
        <w:jc w:val="left"/>
        <w:rPr>
          <w:rFonts w:ascii="宋体" w:cs="宋体"/>
          <w:kern w:val="0"/>
          <w:sz w:val="28"/>
          <w:szCs w:val="28"/>
        </w:rPr>
      </w:pPr>
      <w:r>
        <w:rPr>
          <w:rFonts w:hint="eastAsia" w:ascii="宋体" w:hAnsi="宋体" w:cs="宋体"/>
          <w:kern w:val="0"/>
          <w:sz w:val="28"/>
          <w:szCs w:val="28"/>
        </w:rPr>
        <w:t>公益</w:t>
      </w:r>
      <w:r>
        <w:rPr>
          <w:rFonts w:hint="eastAsia" w:ascii="宋体" w:hAnsi="宋体" w:cs="宋体"/>
          <w:kern w:val="0"/>
          <w:sz w:val="28"/>
          <w:szCs w:val="28"/>
          <w:lang w:eastAsia="zh-CN"/>
        </w:rPr>
        <w:t>类</w:t>
      </w:r>
      <w:r>
        <w:rPr>
          <w:rFonts w:hint="eastAsia" w:ascii="宋体" w:hAnsi="宋体" w:cs="宋体"/>
          <w:kern w:val="0"/>
          <w:sz w:val="28"/>
          <w:szCs w:val="28"/>
        </w:rPr>
        <w:t>活动计分标准为积极参与社会公益活动、志愿服务活动和其他有突出表现的事迹，应根据研究生提供的相应证明材料，经学院认定后，按参与次数给予计分，每次计</w:t>
      </w:r>
      <w:r>
        <w:rPr>
          <w:rFonts w:hint="eastAsia" w:ascii="宋体" w:hAnsi="宋体" w:cs="宋体"/>
          <w:kern w:val="0"/>
          <w:sz w:val="28"/>
          <w:szCs w:val="28"/>
          <w:lang w:val="en-US" w:eastAsia="zh-CN"/>
        </w:rPr>
        <w:t>4</w:t>
      </w:r>
      <w:r>
        <w:rPr>
          <w:rFonts w:hint="eastAsia" w:ascii="宋体" w:hAnsi="宋体" w:cs="宋体"/>
          <w:kern w:val="0"/>
          <w:sz w:val="28"/>
          <w:szCs w:val="28"/>
        </w:rPr>
        <w:t>分。公益</w:t>
      </w:r>
      <w:r>
        <w:rPr>
          <w:rFonts w:hint="eastAsia" w:ascii="宋体" w:hAnsi="宋体" w:cs="宋体"/>
          <w:kern w:val="0"/>
          <w:sz w:val="28"/>
          <w:szCs w:val="28"/>
          <w:lang w:eastAsia="zh-CN"/>
        </w:rPr>
        <w:t>类</w:t>
      </w:r>
      <w:r>
        <w:rPr>
          <w:rFonts w:hint="eastAsia" w:ascii="宋体" w:hAnsi="宋体" w:cs="宋体"/>
          <w:kern w:val="0"/>
          <w:sz w:val="28"/>
          <w:szCs w:val="28"/>
        </w:rPr>
        <w:t>活动得分总计不得超过</w:t>
      </w:r>
      <w:r>
        <w:rPr>
          <w:rFonts w:hint="eastAsia" w:ascii="宋体" w:hAnsi="宋体" w:cs="宋体"/>
          <w:kern w:val="0"/>
          <w:sz w:val="28"/>
          <w:szCs w:val="28"/>
          <w:lang w:val="en-US" w:eastAsia="zh-CN"/>
        </w:rPr>
        <w:t>40</w:t>
      </w:r>
      <w:r>
        <w:rPr>
          <w:rFonts w:hint="eastAsia" w:ascii="宋体" w:hAnsi="宋体" w:cs="宋体"/>
          <w:kern w:val="0"/>
          <w:sz w:val="28"/>
          <w:szCs w:val="28"/>
        </w:rPr>
        <w:t>分。</w:t>
      </w:r>
    </w:p>
    <w:p>
      <w:pPr>
        <w:widowControl/>
        <w:spacing w:line="360" w:lineRule="auto"/>
        <w:ind w:firstLine="562" w:firstLineChars="200"/>
        <w:jc w:val="left"/>
        <w:rPr>
          <w:rFonts w:ascii="宋体"/>
          <w:b/>
          <w:bCs/>
          <w:sz w:val="28"/>
          <w:szCs w:val="28"/>
        </w:rPr>
      </w:pPr>
      <w:r>
        <w:rPr>
          <w:rFonts w:hint="eastAsia" w:ascii="宋体" w:hAnsi="宋体"/>
          <w:b/>
          <w:bCs/>
          <w:sz w:val="28"/>
          <w:szCs w:val="28"/>
        </w:rPr>
        <w:t>二、思想品德得分</w:t>
      </w:r>
    </w:p>
    <w:p>
      <w:pPr>
        <w:spacing w:line="360" w:lineRule="auto"/>
        <w:ind w:firstLine="420" w:firstLineChars="150"/>
        <w:rPr>
          <w:rFonts w:ascii="宋体" w:cs="宋体"/>
          <w:kern w:val="0"/>
          <w:sz w:val="28"/>
          <w:szCs w:val="28"/>
        </w:rPr>
      </w:pPr>
      <w:r>
        <w:rPr>
          <w:rFonts w:hint="eastAsia" w:ascii="宋体" w:hAnsi="宋体" w:cs="宋体"/>
          <w:kern w:val="0"/>
          <w:sz w:val="28"/>
          <w:szCs w:val="28"/>
        </w:rPr>
        <w:t>思想品德的得分主要考察研究生在校期间思想政治素质综合表现，由研究生导师评分、辅导员评分、学生代表评分三部分相加组成。计算方法为：思想道德得分</w:t>
      </w:r>
      <w:r>
        <w:rPr>
          <w:rFonts w:ascii="宋体" w:hAnsi="宋体" w:cs="宋体"/>
          <w:kern w:val="0"/>
          <w:sz w:val="28"/>
          <w:szCs w:val="28"/>
        </w:rPr>
        <w:t>=</w:t>
      </w:r>
      <w:r>
        <w:rPr>
          <w:rFonts w:hint="eastAsia" w:ascii="宋体" w:hAnsi="宋体" w:cs="宋体"/>
          <w:kern w:val="0"/>
          <w:sz w:val="28"/>
          <w:szCs w:val="28"/>
        </w:rPr>
        <w:t>导师评分×</w:t>
      </w:r>
      <w:r>
        <w:rPr>
          <w:rFonts w:hint="eastAsia" w:ascii="宋体" w:hAnsi="宋体" w:cs="宋体"/>
          <w:kern w:val="0"/>
          <w:sz w:val="28"/>
          <w:szCs w:val="28"/>
          <w:lang w:val="en-US" w:eastAsia="zh-CN"/>
        </w:rPr>
        <w:t>30</w:t>
      </w:r>
      <w:r>
        <w:rPr>
          <w:rFonts w:ascii="宋体" w:hAnsi="宋体" w:cs="宋体"/>
          <w:kern w:val="0"/>
          <w:sz w:val="28"/>
          <w:szCs w:val="28"/>
        </w:rPr>
        <w:t>%+</w:t>
      </w:r>
      <w:r>
        <w:rPr>
          <w:rFonts w:hint="eastAsia" w:ascii="宋体" w:hAnsi="宋体" w:cs="宋体"/>
          <w:kern w:val="0"/>
          <w:sz w:val="28"/>
          <w:szCs w:val="28"/>
        </w:rPr>
        <w:t>辅导员评分×</w:t>
      </w:r>
      <w:r>
        <w:rPr>
          <w:rFonts w:hint="eastAsia" w:ascii="宋体" w:hAnsi="宋体" w:cs="宋体"/>
          <w:kern w:val="0"/>
          <w:sz w:val="28"/>
          <w:szCs w:val="28"/>
          <w:lang w:val="en-US" w:eastAsia="zh-CN"/>
        </w:rPr>
        <w:t>15</w:t>
      </w:r>
      <w:r>
        <w:rPr>
          <w:rFonts w:ascii="宋体" w:hAnsi="宋体" w:cs="宋体"/>
          <w:kern w:val="0"/>
          <w:sz w:val="28"/>
          <w:szCs w:val="28"/>
        </w:rPr>
        <w:t>%+</w:t>
      </w:r>
      <w:r>
        <w:rPr>
          <w:rFonts w:hint="eastAsia" w:ascii="宋体" w:hAnsi="宋体" w:cs="宋体"/>
          <w:kern w:val="0"/>
          <w:sz w:val="28"/>
          <w:szCs w:val="28"/>
        </w:rPr>
        <w:t>学生代表评分×</w:t>
      </w:r>
      <w:r>
        <w:rPr>
          <w:rFonts w:hint="eastAsia" w:ascii="宋体" w:hAnsi="宋体" w:cs="宋体"/>
          <w:kern w:val="0"/>
          <w:sz w:val="28"/>
          <w:szCs w:val="28"/>
          <w:lang w:val="en-US" w:eastAsia="zh-CN"/>
        </w:rPr>
        <w:t>15</w:t>
      </w:r>
      <w:r>
        <w:rPr>
          <w:rFonts w:ascii="宋体" w:hAnsi="宋体" w:cs="宋体"/>
          <w:kern w:val="0"/>
          <w:sz w:val="28"/>
          <w:szCs w:val="28"/>
        </w:rPr>
        <w:t>%</w:t>
      </w:r>
      <w:r>
        <w:rPr>
          <w:rFonts w:hint="eastAsia" w:ascii="宋体" w:hAnsi="宋体" w:cs="宋体"/>
          <w:kern w:val="0"/>
          <w:sz w:val="28"/>
          <w:szCs w:val="28"/>
        </w:rPr>
        <w:t>。</w:t>
      </w:r>
    </w:p>
    <w:p>
      <w:pPr>
        <w:spacing w:line="360" w:lineRule="auto"/>
        <w:ind w:firstLine="422" w:firstLineChars="150"/>
        <w:rPr>
          <w:rFonts w:ascii="宋体" w:cs="宋体"/>
          <w:b/>
          <w:bCs/>
          <w:kern w:val="0"/>
          <w:sz w:val="28"/>
          <w:szCs w:val="28"/>
        </w:rPr>
      </w:pPr>
      <w:r>
        <w:rPr>
          <w:rFonts w:ascii="宋体" w:hAnsi="宋体" w:cs="宋体"/>
          <w:b/>
          <w:bCs/>
          <w:kern w:val="0"/>
          <w:sz w:val="28"/>
          <w:szCs w:val="28"/>
        </w:rPr>
        <w:t>1.</w:t>
      </w:r>
      <w:r>
        <w:rPr>
          <w:rFonts w:hint="eastAsia" w:ascii="宋体" w:hAnsi="宋体" w:cs="宋体"/>
          <w:b/>
          <w:bCs/>
          <w:kern w:val="0"/>
          <w:sz w:val="28"/>
          <w:szCs w:val="28"/>
        </w:rPr>
        <w:t>评议内容和评议标准</w:t>
      </w:r>
    </w:p>
    <w:tbl>
      <w:tblPr>
        <w:tblStyle w:val="8"/>
        <w:tblW w:w="8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3796"/>
        <w:gridCol w:w="748"/>
        <w:gridCol w:w="748"/>
        <w:gridCol w:w="748"/>
        <w:gridCol w:w="74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项目</w:t>
            </w:r>
          </w:p>
        </w:tc>
        <w:tc>
          <w:tcPr>
            <w:tcW w:w="3796"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基本内容</w:t>
            </w:r>
          </w:p>
        </w:tc>
        <w:tc>
          <w:tcPr>
            <w:tcW w:w="748"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优秀</w:t>
            </w:r>
          </w:p>
        </w:tc>
        <w:tc>
          <w:tcPr>
            <w:tcW w:w="748"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kern w:val="0"/>
                <w:szCs w:val="21"/>
              </w:rPr>
              <w:t>良好</w:t>
            </w:r>
          </w:p>
        </w:tc>
        <w:tc>
          <w:tcPr>
            <w:tcW w:w="748"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合格</w:t>
            </w:r>
          </w:p>
        </w:tc>
        <w:tc>
          <w:tcPr>
            <w:tcW w:w="748"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较差</w:t>
            </w:r>
          </w:p>
        </w:tc>
        <w:tc>
          <w:tcPr>
            <w:tcW w:w="561" w:type="dxa"/>
            <w:vAlign w:val="center"/>
          </w:tcPr>
          <w:p>
            <w:pPr>
              <w:widowControl/>
              <w:spacing w:line="360" w:lineRule="auto"/>
              <w:jc w:val="center"/>
              <w:rPr>
                <w:rFonts w:ascii="宋体"/>
                <w:b/>
                <w:bCs/>
                <w:kern w:val="0"/>
                <w:szCs w:val="21"/>
              </w:rPr>
            </w:pPr>
            <w:r>
              <w:rPr>
                <w:rFonts w:hint="eastAsia" w:ascii="宋体" w:hAnsi="宋体"/>
                <w:b/>
                <w:bCs/>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kern w:val="0"/>
                <w:szCs w:val="21"/>
              </w:rPr>
            </w:pPr>
            <w:r>
              <w:rPr>
                <w:rFonts w:hint="eastAsia" w:ascii="宋体" w:hAnsi="宋体"/>
                <w:color w:val="000000"/>
                <w:kern w:val="0"/>
                <w:szCs w:val="21"/>
              </w:rPr>
              <w:t>政治</w:t>
            </w:r>
          </w:p>
          <w:p>
            <w:pPr>
              <w:widowControl/>
              <w:spacing w:line="360" w:lineRule="auto"/>
              <w:jc w:val="center"/>
              <w:rPr>
                <w:rFonts w:ascii="宋体"/>
                <w:kern w:val="0"/>
                <w:szCs w:val="21"/>
              </w:rPr>
            </w:pPr>
            <w:r>
              <w:rPr>
                <w:rFonts w:hint="eastAsia" w:ascii="宋体" w:hAnsi="宋体"/>
                <w:color w:val="000000"/>
                <w:kern w:val="0"/>
                <w:szCs w:val="21"/>
              </w:rPr>
              <w:t>素养</w:t>
            </w:r>
          </w:p>
        </w:tc>
        <w:tc>
          <w:tcPr>
            <w:tcW w:w="3796" w:type="dxa"/>
            <w:tcMar>
              <w:top w:w="0" w:type="dxa"/>
              <w:left w:w="108" w:type="dxa"/>
              <w:bottom w:w="0" w:type="dxa"/>
              <w:right w:w="108" w:type="dxa"/>
            </w:tcMar>
            <w:vAlign w:val="center"/>
          </w:tcPr>
          <w:p>
            <w:pPr>
              <w:widowControl/>
              <w:spacing w:line="360" w:lineRule="auto"/>
              <w:rPr>
                <w:rFonts w:ascii="宋体"/>
                <w:kern w:val="0"/>
                <w:szCs w:val="21"/>
              </w:rPr>
            </w:pPr>
            <w:r>
              <w:rPr>
                <w:rFonts w:hint="eastAsia" w:ascii="宋体" w:hAnsi="宋体"/>
                <w:color w:val="000000"/>
                <w:kern w:val="0"/>
                <w:szCs w:val="21"/>
              </w:rPr>
              <w:t>坚持四项基本原则，关心时事政治，拥护党的政策，思想积极向上，主动参加学校学院组织的各项思想政治活动。</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color w:val="000000"/>
                <w:kern w:val="0"/>
                <w:szCs w:val="21"/>
              </w:rPr>
            </w:pPr>
            <w:r>
              <w:rPr>
                <w:rFonts w:hint="eastAsia" w:ascii="宋体" w:hAnsi="宋体"/>
                <w:color w:val="000000"/>
                <w:kern w:val="0"/>
                <w:szCs w:val="21"/>
              </w:rPr>
              <w:t>法制</w:t>
            </w:r>
          </w:p>
          <w:p>
            <w:pPr>
              <w:widowControl/>
              <w:spacing w:line="360" w:lineRule="auto"/>
              <w:jc w:val="center"/>
              <w:rPr>
                <w:rFonts w:ascii="宋体"/>
                <w:kern w:val="0"/>
                <w:szCs w:val="21"/>
              </w:rPr>
            </w:pPr>
            <w:r>
              <w:rPr>
                <w:rFonts w:hint="eastAsia" w:ascii="宋体" w:hAnsi="宋体"/>
                <w:color w:val="000000"/>
                <w:kern w:val="0"/>
                <w:szCs w:val="21"/>
              </w:rPr>
              <w:t>观念</w:t>
            </w:r>
          </w:p>
        </w:tc>
        <w:tc>
          <w:tcPr>
            <w:tcW w:w="3796" w:type="dxa"/>
            <w:tcMar>
              <w:top w:w="0" w:type="dxa"/>
              <w:left w:w="108" w:type="dxa"/>
              <w:bottom w:w="0" w:type="dxa"/>
              <w:right w:w="108" w:type="dxa"/>
            </w:tcMar>
            <w:vAlign w:val="center"/>
          </w:tcPr>
          <w:p>
            <w:pPr>
              <w:widowControl/>
              <w:spacing w:line="360" w:lineRule="auto"/>
              <w:rPr>
                <w:rFonts w:ascii="宋体"/>
                <w:kern w:val="0"/>
                <w:szCs w:val="21"/>
              </w:rPr>
            </w:pPr>
            <w:r>
              <w:rPr>
                <w:rFonts w:hint="eastAsia" w:ascii="宋体" w:hAnsi="宋体"/>
                <w:color w:val="000000"/>
                <w:kern w:val="0"/>
                <w:szCs w:val="21"/>
              </w:rPr>
              <w:t>具有法制意识，爱护校园环境，自觉遵守国家法律法规和学校的各项规章制度。</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kern w:val="0"/>
                <w:szCs w:val="21"/>
              </w:rPr>
            </w:pPr>
            <w:r>
              <w:rPr>
                <w:rFonts w:hint="eastAsia" w:ascii="宋体" w:hAnsi="宋体"/>
                <w:kern w:val="0"/>
                <w:szCs w:val="21"/>
              </w:rPr>
              <w:t>诚实</w:t>
            </w:r>
          </w:p>
          <w:p>
            <w:pPr>
              <w:widowControl/>
              <w:spacing w:line="360" w:lineRule="auto"/>
              <w:jc w:val="center"/>
              <w:rPr>
                <w:rFonts w:ascii="宋体"/>
                <w:kern w:val="0"/>
                <w:szCs w:val="21"/>
              </w:rPr>
            </w:pPr>
            <w:r>
              <w:rPr>
                <w:rFonts w:hint="eastAsia" w:ascii="宋体" w:hAnsi="宋体"/>
                <w:kern w:val="0"/>
                <w:szCs w:val="21"/>
              </w:rPr>
              <w:t>守信</w:t>
            </w:r>
          </w:p>
        </w:tc>
        <w:tc>
          <w:tcPr>
            <w:tcW w:w="3796" w:type="dxa"/>
            <w:tcMar>
              <w:top w:w="0" w:type="dxa"/>
              <w:left w:w="108" w:type="dxa"/>
              <w:bottom w:w="0" w:type="dxa"/>
              <w:right w:w="108" w:type="dxa"/>
            </w:tcMar>
            <w:vAlign w:val="center"/>
          </w:tcPr>
          <w:p>
            <w:pPr>
              <w:widowControl/>
              <w:spacing w:line="360" w:lineRule="auto"/>
              <w:rPr>
                <w:rFonts w:ascii="宋体"/>
                <w:kern w:val="0"/>
                <w:szCs w:val="21"/>
              </w:rPr>
            </w:pPr>
            <w:r>
              <w:rPr>
                <w:rFonts w:hint="eastAsia" w:ascii="宋体" w:hAnsi="宋体"/>
                <w:kern w:val="0"/>
                <w:szCs w:val="21"/>
              </w:rPr>
              <w:t>为人真诚，待人友善，品行正直，诺守诚信，讲求学术诚信。</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color w:val="000000"/>
                <w:kern w:val="0"/>
                <w:szCs w:val="21"/>
              </w:rPr>
            </w:pPr>
            <w:r>
              <w:rPr>
                <w:rFonts w:hint="eastAsia" w:ascii="宋体" w:hAnsi="宋体"/>
                <w:color w:val="000000"/>
                <w:kern w:val="0"/>
                <w:szCs w:val="21"/>
              </w:rPr>
              <w:t>团队</w:t>
            </w:r>
          </w:p>
          <w:p>
            <w:pPr>
              <w:widowControl/>
              <w:spacing w:line="360" w:lineRule="auto"/>
              <w:jc w:val="center"/>
              <w:rPr>
                <w:rFonts w:ascii="宋体"/>
                <w:color w:val="000000"/>
                <w:kern w:val="0"/>
                <w:szCs w:val="21"/>
              </w:rPr>
            </w:pPr>
            <w:r>
              <w:rPr>
                <w:rFonts w:hint="eastAsia" w:ascii="宋体" w:hAnsi="宋体"/>
                <w:color w:val="000000"/>
                <w:kern w:val="0"/>
                <w:szCs w:val="21"/>
              </w:rPr>
              <w:t>合作</w:t>
            </w:r>
          </w:p>
        </w:tc>
        <w:tc>
          <w:tcPr>
            <w:tcW w:w="3796" w:type="dxa"/>
            <w:tcMar>
              <w:top w:w="0" w:type="dxa"/>
              <w:left w:w="108" w:type="dxa"/>
              <w:bottom w:w="0" w:type="dxa"/>
              <w:right w:w="108" w:type="dxa"/>
            </w:tcMar>
            <w:vAlign w:val="center"/>
          </w:tcPr>
          <w:p>
            <w:pPr>
              <w:widowControl/>
              <w:spacing w:line="360" w:lineRule="auto"/>
              <w:rPr>
                <w:rFonts w:ascii="宋体"/>
                <w:color w:val="000000"/>
                <w:kern w:val="0"/>
                <w:szCs w:val="21"/>
              </w:rPr>
            </w:pPr>
            <w:r>
              <w:rPr>
                <w:rFonts w:hint="eastAsia" w:ascii="宋体" w:hAnsi="宋体"/>
                <w:color w:val="000000"/>
                <w:kern w:val="0"/>
                <w:szCs w:val="21"/>
              </w:rPr>
              <w:t>关心班集体，关心学校事物和学院发展，遵守团队规则，尊重团队利益，积极参加各类团队活动，善于沟通和协作。</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kern w:val="0"/>
                <w:szCs w:val="21"/>
              </w:rPr>
            </w:pPr>
            <w:r>
              <w:rPr>
                <w:rFonts w:hint="eastAsia" w:ascii="宋体" w:hAnsi="宋体"/>
                <w:color w:val="000000"/>
                <w:kern w:val="0"/>
                <w:szCs w:val="21"/>
              </w:rPr>
              <w:t>维护</w:t>
            </w:r>
          </w:p>
          <w:p>
            <w:pPr>
              <w:widowControl/>
              <w:spacing w:line="360" w:lineRule="auto"/>
              <w:jc w:val="center"/>
              <w:rPr>
                <w:rFonts w:ascii="宋体"/>
                <w:kern w:val="0"/>
                <w:szCs w:val="21"/>
              </w:rPr>
            </w:pPr>
            <w:r>
              <w:rPr>
                <w:rFonts w:hint="eastAsia" w:ascii="宋体" w:hAnsi="宋体"/>
                <w:color w:val="000000"/>
                <w:kern w:val="0"/>
                <w:szCs w:val="21"/>
              </w:rPr>
              <w:t>社会</w:t>
            </w:r>
          </w:p>
          <w:p>
            <w:pPr>
              <w:widowControl/>
              <w:spacing w:line="360" w:lineRule="auto"/>
              <w:jc w:val="center"/>
              <w:rPr>
                <w:rFonts w:ascii="宋体"/>
                <w:kern w:val="0"/>
                <w:szCs w:val="21"/>
              </w:rPr>
            </w:pPr>
            <w:r>
              <w:rPr>
                <w:rFonts w:hint="eastAsia" w:ascii="宋体" w:hAnsi="宋体"/>
                <w:color w:val="000000"/>
                <w:kern w:val="0"/>
                <w:szCs w:val="21"/>
              </w:rPr>
              <w:t>公德</w:t>
            </w:r>
          </w:p>
        </w:tc>
        <w:tc>
          <w:tcPr>
            <w:tcW w:w="3796" w:type="dxa"/>
            <w:tcMar>
              <w:top w:w="0" w:type="dxa"/>
              <w:left w:w="108" w:type="dxa"/>
              <w:bottom w:w="0" w:type="dxa"/>
              <w:right w:w="108" w:type="dxa"/>
            </w:tcMar>
            <w:vAlign w:val="center"/>
          </w:tcPr>
          <w:p>
            <w:pPr>
              <w:widowControl/>
              <w:spacing w:line="360" w:lineRule="auto"/>
              <w:rPr>
                <w:rFonts w:ascii="宋体"/>
                <w:kern w:val="0"/>
                <w:szCs w:val="21"/>
              </w:rPr>
            </w:pPr>
            <w:r>
              <w:rPr>
                <w:rFonts w:hint="eastAsia" w:ascii="宋体" w:hAnsi="宋体"/>
                <w:color w:val="000000"/>
                <w:kern w:val="0"/>
                <w:szCs w:val="21"/>
              </w:rPr>
              <w:t>尊老爱幼，助人为乐，爱护公物，遵守社会秩序，自觉维护公共道德。珍惜能源、资源，节约水电粮食。</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bl>
    <w:p>
      <w:pPr>
        <w:numPr>
          <w:ilvl w:val="0"/>
          <w:numId w:val="1"/>
        </w:numPr>
        <w:spacing w:line="360" w:lineRule="auto"/>
        <w:ind w:firstLine="562" w:firstLineChars="200"/>
        <w:rPr>
          <w:rFonts w:hint="eastAsia" w:ascii="宋体" w:hAnsi="宋体" w:cs="宋体"/>
          <w:kern w:val="0"/>
          <w:sz w:val="28"/>
          <w:szCs w:val="28"/>
        </w:rPr>
      </w:pPr>
      <w:r>
        <w:rPr>
          <w:rFonts w:hint="eastAsia" w:ascii="宋体" w:hAnsi="宋体" w:cs="宋体"/>
          <w:b/>
          <w:bCs/>
          <w:kern w:val="0"/>
          <w:sz w:val="28"/>
          <w:szCs w:val="28"/>
        </w:rPr>
        <w:t>评议办法：</w:t>
      </w:r>
      <w:r>
        <w:rPr>
          <w:rFonts w:hint="eastAsia" w:ascii="宋体" w:hAnsi="宋体" w:cs="宋体"/>
          <w:kern w:val="0"/>
          <w:sz w:val="28"/>
          <w:szCs w:val="28"/>
        </w:rPr>
        <w:t>由研究生导师、辅导员和学生代表按评议内容打分，然后按比例计算思想品德得分。学生代表除班长、团支书、党支部书记指定参加外，其余代表由班级民主选举产生，学生代表人数不得少于参评人数的</w:t>
      </w:r>
      <w:r>
        <w:rPr>
          <w:rFonts w:ascii="宋体" w:hAnsi="宋体" w:cs="宋体"/>
          <w:kern w:val="0"/>
          <w:sz w:val="28"/>
          <w:szCs w:val="28"/>
        </w:rPr>
        <w:t>40%</w:t>
      </w:r>
      <w:r>
        <w:rPr>
          <w:rFonts w:hint="eastAsia" w:ascii="宋体" w:hAnsi="宋体" w:cs="宋体"/>
          <w:kern w:val="0"/>
          <w:sz w:val="28"/>
          <w:szCs w:val="28"/>
        </w:rPr>
        <w:t>，</w:t>
      </w:r>
      <w:r>
        <w:rPr>
          <w:rFonts w:hint="eastAsia" w:ascii="宋体" w:hAnsi="宋体" w:cs="宋体"/>
          <w:kern w:val="0"/>
          <w:sz w:val="28"/>
          <w:szCs w:val="28"/>
          <w:lang w:eastAsia="zh-CN"/>
        </w:rPr>
        <w:t>学生</w:t>
      </w:r>
      <w:r>
        <w:rPr>
          <w:rFonts w:hint="eastAsia" w:ascii="宋体" w:hAnsi="宋体" w:cs="宋体"/>
          <w:kern w:val="0"/>
          <w:sz w:val="28"/>
          <w:szCs w:val="28"/>
        </w:rPr>
        <w:t>代表评议分计算方法为除去最高、最低得分，取平均分。</w:t>
      </w:r>
    </w:p>
    <w:p>
      <w:pPr>
        <w:numPr>
          <w:ilvl w:val="0"/>
          <w:numId w:val="0"/>
        </w:numPr>
        <w:spacing w:line="360" w:lineRule="auto"/>
        <w:rPr>
          <w:rFonts w:ascii="宋体"/>
          <w:b/>
          <w:bCs/>
          <w:sz w:val="28"/>
          <w:szCs w:val="28"/>
        </w:rPr>
      </w:pPr>
      <w:r>
        <w:rPr>
          <w:rFonts w:hint="eastAsia" w:ascii="宋体" w:hAnsi="宋体"/>
          <w:b/>
          <w:bCs/>
          <w:sz w:val="28"/>
          <w:szCs w:val="28"/>
          <w:lang w:val="en-US" w:eastAsia="zh-CN"/>
        </w:rPr>
        <w:t xml:space="preserve">    </w:t>
      </w:r>
      <w:r>
        <w:rPr>
          <w:rFonts w:hint="eastAsia" w:ascii="宋体" w:hAnsi="宋体"/>
          <w:b/>
          <w:bCs/>
          <w:sz w:val="28"/>
          <w:szCs w:val="28"/>
        </w:rPr>
        <w:t>三、扣分情况</w:t>
      </w:r>
    </w:p>
    <w:p>
      <w:pPr>
        <w:spacing w:line="360" w:lineRule="auto"/>
        <w:ind w:firstLine="560" w:firstLineChars="200"/>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参加学校、学院组织的活动，无故不到会或者中途离开的学生，每次扣</w:t>
      </w:r>
      <w:r>
        <w:rPr>
          <w:rFonts w:ascii="宋体" w:hAnsi="宋体" w:cs="宋体"/>
          <w:kern w:val="0"/>
          <w:sz w:val="28"/>
          <w:szCs w:val="28"/>
        </w:rPr>
        <w:t>1</w:t>
      </w:r>
      <w:r>
        <w:rPr>
          <w:rFonts w:hint="eastAsia" w:ascii="宋体" w:hAnsi="宋体" w:cs="宋体"/>
          <w:kern w:val="0"/>
          <w:sz w:val="28"/>
          <w:szCs w:val="28"/>
        </w:rPr>
        <w:t>分，测评年度内可以累计扣分。</w:t>
      </w:r>
    </w:p>
    <w:p>
      <w:pPr>
        <w:spacing w:line="360" w:lineRule="auto"/>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研究生宿舍卫生每月检查一次，院级检查成绩排名在后</w:t>
      </w:r>
      <w:r>
        <w:rPr>
          <w:rFonts w:ascii="宋体" w:hAnsi="宋体" w:cs="宋体"/>
          <w:kern w:val="0"/>
          <w:sz w:val="28"/>
          <w:szCs w:val="28"/>
        </w:rPr>
        <w:t>20%</w:t>
      </w:r>
      <w:r>
        <w:rPr>
          <w:rFonts w:hint="eastAsia" w:ascii="宋体" w:hAnsi="宋体" w:cs="宋体"/>
          <w:kern w:val="0"/>
          <w:sz w:val="28"/>
          <w:szCs w:val="28"/>
        </w:rPr>
        <w:t>且在</w:t>
      </w:r>
      <w:r>
        <w:rPr>
          <w:rFonts w:ascii="宋体" w:hAnsi="宋体" w:cs="宋体"/>
          <w:kern w:val="0"/>
          <w:sz w:val="28"/>
          <w:szCs w:val="28"/>
        </w:rPr>
        <w:t>80</w:t>
      </w:r>
      <w:r>
        <w:rPr>
          <w:rFonts w:hint="eastAsia" w:ascii="宋体" w:hAnsi="宋体" w:cs="宋体"/>
          <w:kern w:val="0"/>
          <w:sz w:val="28"/>
          <w:szCs w:val="28"/>
        </w:rPr>
        <w:t>分以下的寝室，每个成员每次扣</w:t>
      </w:r>
      <w:r>
        <w:rPr>
          <w:rFonts w:ascii="宋体" w:hAnsi="宋体" w:cs="宋体"/>
          <w:kern w:val="0"/>
          <w:sz w:val="28"/>
          <w:szCs w:val="28"/>
        </w:rPr>
        <w:t>1</w:t>
      </w:r>
      <w:r>
        <w:rPr>
          <w:rFonts w:hint="eastAsia" w:ascii="宋体" w:hAnsi="宋体" w:cs="宋体"/>
          <w:kern w:val="0"/>
          <w:sz w:val="28"/>
          <w:szCs w:val="28"/>
        </w:rPr>
        <w:t>分；校级检查成绩排名在后</w:t>
      </w:r>
      <w:r>
        <w:rPr>
          <w:rFonts w:ascii="宋体" w:hAnsi="宋体" w:cs="宋体"/>
          <w:kern w:val="0"/>
          <w:sz w:val="28"/>
          <w:szCs w:val="28"/>
        </w:rPr>
        <w:t>20%</w:t>
      </w:r>
      <w:r>
        <w:rPr>
          <w:rFonts w:hint="eastAsia" w:ascii="宋体" w:hAnsi="宋体" w:cs="宋体"/>
          <w:kern w:val="0"/>
          <w:sz w:val="28"/>
          <w:szCs w:val="28"/>
        </w:rPr>
        <w:t>（以院内寝室基数排名）且在</w:t>
      </w:r>
      <w:r>
        <w:rPr>
          <w:rFonts w:ascii="宋体" w:hAnsi="宋体" w:cs="宋体"/>
          <w:kern w:val="0"/>
          <w:sz w:val="28"/>
          <w:szCs w:val="28"/>
        </w:rPr>
        <w:t>80</w:t>
      </w:r>
      <w:r>
        <w:rPr>
          <w:rFonts w:hint="eastAsia" w:ascii="宋体" w:hAnsi="宋体" w:cs="宋体"/>
          <w:kern w:val="0"/>
          <w:sz w:val="28"/>
          <w:szCs w:val="28"/>
        </w:rPr>
        <w:t>分以下的寝室，每个成员每次扣</w:t>
      </w:r>
      <w:r>
        <w:rPr>
          <w:rFonts w:ascii="宋体" w:hAnsi="宋体" w:cs="宋体"/>
          <w:kern w:val="0"/>
          <w:sz w:val="28"/>
          <w:szCs w:val="28"/>
        </w:rPr>
        <w:t>2</w:t>
      </w:r>
      <w:r>
        <w:rPr>
          <w:rFonts w:hint="eastAsia" w:ascii="宋体" w:hAnsi="宋体" w:cs="宋体"/>
          <w:kern w:val="0"/>
          <w:sz w:val="28"/>
          <w:szCs w:val="28"/>
        </w:rPr>
        <w:t>分。不在校的学生在辅导员处登记备案后不扣分。</w:t>
      </w:r>
    </w:p>
    <w:p>
      <w:pPr>
        <w:autoSpaceDE w:val="0"/>
        <w:autoSpaceDN w:val="0"/>
        <w:adjustRightInd w:val="0"/>
        <w:spacing w:line="360" w:lineRule="auto"/>
        <w:ind w:firstLine="560" w:firstLineChars="200"/>
        <w:jc w:val="left"/>
        <w:rPr>
          <w:rFonts w:ascii="宋体" w:cs="宋体"/>
          <w:kern w:val="0"/>
          <w:sz w:val="28"/>
          <w:szCs w:val="28"/>
        </w:rPr>
      </w:pPr>
      <w:r>
        <w:rPr>
          <w:rFonts w:ascii="宋体" w:hAnsi="宋体" w:cs="宋体"/>
          <w:kern w:val="0"/>
          <w:sz w:val="28"/>
          <w:szCs w:val="28"/>
        </w:rPr>
        <w:t>3.</w:t>
      </w:r>
      <w:r>
        <w:rPr>
          <w:rFonts w:hint="eastAsia" w:ascii="宋体" w:hAnsi="宋体" w:cs="宋体"/>
          <w:kern w:val="0"/>
          <w:sz w:val="28"/>
          <w:szCs w:val="28"/>
        </w:rPr>
        <w:t>在测评学年受到纪律处分、学校或学院通报批评的研究生，应予以扣分。受到多次处分者，扣分可累计。</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185"/>
        <w:gridCol w:w="1223"/>
        <w:gridCol w:w="1223"/>
        <w:gridCol w:w="1223"/>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22" w:type="dxa"/>
            <w:vAlign w:val="center"/>
          </w:tcPr>
          <w:p>
            <w:pPr>
              <w:jc w:val="center"/>
              <w:rPr>
                <w:rFonts w:ascii="宋体"/>
                <w:sz w:val="24"/>
              </w:rPr>
            </w:pPr>
            <w:r>
              <w:rPr>
                <w:rFonts w:hint="eastAsia" w:ascii="宋体" w:hAnsi="宋体"/>
                <w:sz w:val="24"/>
              </w:rPr>
              <w:t>处分类型</w:t>
            </w:r>
          </w:p>
        </w:tc>
        <w:tc>
          <w:tcPr>
            <w:tcW w:w="1185" w:type="dxa"/>
            <w:vAlign w:val="center"/>
          </w:tcPr>
          <w:p>
            <w:pPr>
              <w:jc w:val="center"/>
              <w:rPr>
                <w:rFonts w:ascii="宋体"/>
                <w:sz w:val="24"/>
              </w:rPr>
            </w:pPr>
            <w:r>
              <w:rPr>
                <w:rFonts w:hint="eastAsia" w:ascii="宋体" w:hAnsi="宋体"/>
                <w:sz w:val="24"/>
              </w:rPr>
              <w:t>院内</w:t>
            </w:r>
          </w:p>
          <w:p>
            <w:pPr>
              <w:jc w:val="center"/>
              <w:rPr>
                <w:rFonts w:ascii="宋体"/>
                <w:sz w:val="24"/>
              </w:rPr>
            </w:pPr>
            <w:r>
              <w:rPr>
                <w:rFonts w:hint="eastAsia" w:ascii="宋体" w:hAnsi="宋体"/>
                <w:sz w:val="24"/>
              </w:rPr>
              <w:t>通报批评</w:t>
            </w:r>
          </w:p>
        </w:tc>
        <w:tc>
          <w:tcPr>
            <w:tcW w:w="1223" w:type="dxa"/>
            <w:vAlign w:val="center"/>
          </w:tcPr>
          <w:p>
            <w:pPr>
              <w:jc w:val="center"/>
              <w:rPr>
                <w:rFonts w:ascii="宋体"/>
                <w:sz w:val="24"/>
              </w:rPr>
            </w:pPr>
            <w:r>
              <w:rPr>
                <w:rFonts w:hint="eastAsia" w:ascii="宋体" w:hAnsi="宋体"/>
                <w:sz w:val="24"/>
              </w:rPr>
              <w:t>通报批评</w:t>
            </w:r>
          </w:p>
        </w:tc>
        <w:tc>
          <w:tcPr>
            <w:tcW w:w="1223" w:type="dxa"/>
            <w:vAlign w:val="center"/>
          </w:tcPr>
          <w:p>
            <w:pPr>
              <w:jc w:val="center"/>
              <w:rPr>
                <w:rFonts w:ascii="宋体"/>
                <w:sz w:val="24"/>
              </w:rPr>
            </w:pPr>
            <w:r>
              <w:rPr>
                <w:rFonts w:hint="eastAsia" w:ascii="宋体" w:hAnsi="宋体"/>
                <w:sz w:val="24"/>
              </w:rPr>
              <w:t>警告</w:t>
            </w:r>
          </w:p>
        </w:tc>
        <w:tc>
          <w:tcPr>
            <w:tcW w:w="1223" w:type="dxa"/>
            <w:vAlign w:val="center"/>
          </w:tcPr>
          <w:p>
            <w:pPr>
              <w:jc w:val="center"/>
              <w:rPr>
                <w:rFonts w:ascii="宋体"/>
                <w:sz w:val="24"/>
              </w:rPr>
            </w:pPr>
            <w:r>
              <w:rPr>
                <w:rFonts w:hint="eastAsia" w:ascii="宋体" w:hAnsi="宋体"/>
                <w:sz w:val="24"/>
              </w:rPr>
              <w:t>严重警告</w:t>
            </w:r>
          </w:p>
        </w:tc>
        <w:tc>
          <w:tcPr>
            <w:tcW w:w="1223" w:type="dxa"/>
            <w:vAlign w:val="center"/>
          </w:tcPr>
          <w:p>
            <w:pPr>
              <w:jc w:val="center"/>
              <w:rPr>
                <w:rFonts w:ascii="宋体"/>
                <w:sz w:val="24"/>
              </w:rPr>
            </w:pPr>
            <w:r>
              <w:rPr>
                <w:rFonts w:hint="eastAsia" w:ascii="宋体" w:hAnsi="宋体"/>
                <w:sz w:val="24"/>
              </w:rPr>
              <w:t>记过</w:t>
            </w:r>
          </w:p>
        </w:tc>
        <w:tc>
          <w:tcPr>
            <w:tcW w:w="1223" w:type="dxa"/>
            <w:vAlign w:val="center"/>
          </w:tcPr>
          <w:p>
            <w:pPr>
              <w:jc w:val="center"/>
              <w:rPr>
                <w:rFonts w:ascii="宋体"/>
                <w:sz w:val="24"/>
              </w:rPr>
            </w:pPr>
            <w:r>
              <w:rPr>
                <w:rFonts w:hint="eastAsia" w:ascii="宋体" w:hAnsi="宋体"/>
                <w:sz w:val="24"/>
              </w:rPr>
              <w:t>留校察看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22" w:type="dxa"/>
            <w:vAlign w:val="center"/>
          </w:tcPr>
          <w:p>
            <w:pPr>
              <w:jc w:val="center"/>
              <w:rPr>
                <w:rFonts w:ascii="宋体"/>
                <w:sz w:val="24"/>
              </w:rPr>
            </w:pPr>
            <w:r>
              <w:rPr>
                <w:rFonts w:hint="eastAsia" w:ascii="宋体" w:hAnsi="宋体"/>
                <w:sz w:val="24"/>
              </w:rPr>
              <w:t>扣分</w:t>
            </w:r>
          </w:p>
        </w:tc>
        <w:tc>
          <w:tcPr>
            <w:tcW w:w="1185" w:type="dxa"/>
            <w:vAlign w:val="center"/>
          </w:tcPr>
          <w:p>
            <w:pPr>
              <w:jc w:val="center"/>
              <w:rPr>
                <w:rFonts w:ascii="宋体"/>
                <w:sz w:val="24"/>
              </w:rPr>
            </w:pPr>
            <w:r>
              <w:rPr>
                <w:rFonts w:ascii="宋体" w:hAnsi="宋体"/>
                <w:sz w:val="24"/>
              </w:rPr>
              <w:t>5</w:t>
            </w:r>
          </w:p>
        </w:tc>
        <w:tc>
          <w:tcPr>
            <w:tcW w:w="1223" w:type="dxa"/>
            <w:vAlign w:val="center"/>
          </w:tcPr>
          <w:p>
            <w:pPr>
              <w:jc w:val="center"/>
              <w:rPr>
                <w:rFonts w:ascii="宋体" w:hAnsi="宋体"/>
                <w:sz w:val="24"/>
              </w:rPr>
            </w:pPr>
            <w:r>
              <w:rPr>
                <w:rFonts w:ascii="宋体" w:hAnsi="宋体"/>
                <w:sz w:val="24"/>
              </w:rPr>
              <w:t>10</w:t>
            </w:r>
          </w:p>
        </w:tc>
        <w:tc>
          <w:tcPr>
            <w:tcW w:w="1223" w:type="dxa"/>
            <w:vAlign w:val="center"/>
          </w:tcPr>
          <w:p>
            <w:pPr>
              <w:jc w:val="center"/>
              <w:rPr>
                <w:rFonts w:ascii="宋体" w:hAnsi="宋体"/>
                <w:sz w:val="24"/>
              </w:rPr>
            </w:pPr>
            <w:r>
              <w:rPr>
                <w:rFonts w:ascii="宋体" w:hAnsi="宋体"/>
                <w:sz w:val="24"/>
              </w:rPr>
              <w:t>30</w:t>
            </w:r>
          </w:p>
        </w:tc>
        <w:tc>
          <w:tcPr>
            <w:tcW w:w="1223" w:type="dxa"/>
            <w:vAlign w:val="center"/>
          </w:tcPr>
          <w:p>
            <w:pPr>
              <w:jc w:val="center"/>
              <w:rPr>
                <w:rFonts w:ascii="宋体" w:hAnsi="宋体"/>
                <w:sz w:val="24"/>
              </w:rPr>
            </w:pPr>
            <w:r>
              <w:rPr>
                <w:rFonts w:ascii="宋体" w:hAnsi="宋体"/>
                <w:sz w:val="24"/>
              </w:rPr>
              <w:t>40</w:t>
            </w:r>
          </w:p>
        </w:tc>
        <w:tc>
          <w:tcPr>
            <w:tcW w:w="1223" w:type="dxa"/>
            <w:vAlign w:val="center"/>
          </w:tcPr>
          <w:p>
            <w:pPr>
              <w:jc w:val="center"/>
              <w:rPr>
                <w:rFonts w:ascii="宋体" w:hAnsi="宋体"/>
                <w:sz w:val="24"/>
              </w:rPr>
            </w:pPr>
            <w:r>
              <w:rPr>
                <w:rFonts w:ascii="宋体" w:hAnsi="宋体"/>
                <w:sz w:val="24"/>
              </w:rPr>
              <w:t>50</w:t>
            </w:r>
          </w:p>
        </w:tc>
        <w:tc>
          <w:tcPr>
            <w:tcW w:w="1223" w:type="dxa"/>
            <w:vAlign w:val="center"/>
          </w:tcPr>
          <w:p>
            <w:pPr>
              <w:jc w:val="center"/>
              <w:rPr>
                <w:rFonts w:ascii="宋体" w:hAnsi="宋体"/>
                <w:sz w:val="24"/>
              </w:rPr>
            </w:pPr>
            <w:r>
              <w:rPr>
                <w:rFonts w:ascii="宋体" w:hAnsi="宋体"/>
                <w:sz w:val="24"/>
              </w:rPr>
              <w:t>60</w:t>
            </w:r>
          </w:p>
        </w:tc>
      </w:tr>
    </w:tbl>
    <w:p>
      <w:pPr>
        <w:spacing w:line="360" w:lineRule="auto"/>
        <w:ind w:firstLine="360" w:firstLineChars="128"/>
        <w:rPr>
          <w:rFonts w:ascii="宋体" w:cs="宋体"/>
          <w:kern w:val="0"/>
          <w:sz w:val="28"/>
          <w:szCs w:val="28"/>
        </w:rPr>
      </w:pPr>
      <w:r>
        <w:rPr>
          <w:rFonts w:hint="eastAsia" w:ascii="宋体" w:hAnsi="宋体"/>
          <w:b/>
          <w:sz w:val="28"/>
          <w:szCs w:val="28"/>
        </w:rPr>
        <w:t>第六条</w:t>
      </w:r>
      <w:r>
        <w:rPr>
          <w:rFonts w:ascii="宋体" w:hAnsi="宋体"/>
          <w:b/>
          <w:sz w:val="28"/>
          <w:szCs w:val="28"/>
        </w:rPr>
        <w:t xml:space="preserve"> </w:t>
      </w:r>
      <w:r>
        <w:rPr>
          <w:rFonts w:hint="eastAsia" w:ascii="宋体" w:hAnsi="宋体" w:cs="宋体"/>
          <w:kern w:val="0"/>
          <w:sz w:val="28"/>
          <w:szCs w:val="28"/>
        </w:rPr>
        <w:t>智育模块分，占</w:t>
      </w:r>
      <w:r>
        <w:rPr>
          <w:rFonts w:ascii="宋体" w:hAnsi="宋体" w:cs="宋体"/>
          <w:kern w:val="0"/>
          <w:sz w:val="28"/>
          <w:szCs w:val="28"/>
        </w:rPr>
        <w:t>45%</w:t>
      </w:r>
      <w:r>
        <w:rPr>
          <w:rFonts w:hint="eastAsia" w:ascii="宋体" w:hAnsi="宋体" w:cs="宋体"/>
          <w:kern w:val="0"/>
          <w:sz w:val="28"/>
          <w:szCs w:val="28"/>
        </w:rPr>
        <w:t>。计算方法为：智育模块分＝课程加权平均分。</w:t>
      </w:r>
    </w:p>
    <w:p>
      <w:pPr>
        <w:spacing w:line="360" w:lineRule="auto"/>
        <w:ind w:firstLine="537" w:firstLineChars="192"/>
        <w:rPr>
          <w:rFonts w:ascii="宋体" w:cs="宋体"/>
          <w:kern w:val="0"/>
          <w:sz w:val="28"/>
          <w:szCs w:val="28"/>
        </w:rPr>
      </w:pPr>
      <w:r>
        <w:rPr>
          <w:rFonts w:hint="eastAsia" w:ascii="宋体" w:hAnsi="宋体" w:cs="宋体"/>
          <w:kern w:val="0"/>
          <w:sz w:val="28"/>
          <w:szCs w:val="28"/>
        </w:rPr>
        <w:t>课程加权平均分＝Σ</w:t>
      </w:r>
      <w:r>
        <w:rPr>
          <w:rFonts w:ascii="宋体" w:hAnsi="宋体" w:cs="宋体"/>
          <w:kern w:val="0"/>
          <w:sz w:val="28"/>
          <w:szCs w:val="28"/>
        </w:rPr>
        <w:t>(</w:t>
      </w:r>
      <w:r>
        <w:rPr>
          <w:rFonts w:hint="eastAsia" w:ascii="宋体" w:hAnsi="宋体" w:cs="宋体"/>
          <w:kern w:val="0"/>
          <w:sz w:val="28"/>
          <w:szCs w:val="28"/>
        </w:rPr>
        <w:t>课程成绩×课程学分</w:t>
      </w:r>
      <w:r>
        <w:rPr>
          <w:rFonts w:ascii="宋体" w:hAnsi="宋体" w:cs="宋体"/>
          <w:kern w:val="0"/>
          <w:sz w:val="28"/>
          <w:szCs w:val="28"/>
        </w:rPr>
        <w:t>)/</w:t>
      </w:r>
      <w:r>
        <w:rPr>
          <w:rFonts w:hint="eastAsia" w:ascii="宋体" w:hAnsi="宋体" w:cs="宋体"/>
          <w:kern w:val="0"/>
          <w:sz w:val="28"/>
          <w:szCs w:val="28"/>
        </w:rPr>
        <w:t>Σ课程学分。由研究生秘书、辅导员、班级学习委员一起审核计算。课程成绩以第一次考试原始成绩计。</w:t>
      </w:r>
    </w:p>
    <w:p>
      <w:pPr>
        <w:spacing w:line="360" w:lineRule="auto"/>
        <w:ind w:firstLine="275" w:firstLineChars="98"/>
        <w:rPr>
          <w:rFonts w:ascii="宋体"/>
          <w:sz w:val="28"/>
          <w:szCs w:val="28"/>
        </w:rPr>
      </w:pPr>
      <w:r>
        <w:rPr>
          <w:rFonts w:hint="eastAsia" w:ascii="宋体" w:hAnsi="宋体"/>
          <w:b/>
          <w:bCs/>
          <w:sz w:val="28"/>
          <w:szCs w:val="28"/>
        </w:rPr>
        <w:t>第七条</w:t>
      </w:r>
      <w:r>
        <w:rPr>
          <w:rFonts w:ascii="宋体" w:hAnsi="宋体"/>
          <w:b/>
          <w:bCs/>
          <w:sz w:val="28"/>
          <w:szCs w:val="28"/>
        </w:rPr>
        <w:t xml:space="preserve"> </w:t>
      </w:r>
      <w:r>
        <w:rPr>
          <w:rFonts w:hint="eastAsia" w:ascii="宋体" w:hAnsi="宋体" w:cs="宋体"/>
          <w:kern w:val="0"/>
          <w:sz w:val="28"/>
          <w:szCs w:val="28"/>
        </w:rPr>
        <w:t>素质拓展分，占</w:t>
      </w:r>
      <w:r>
        <w:rPr>
          <w:rFonts w:ascii="宋体" w:hAnsi="宋体" w:cs="宋体"/>
          <w:kern w:val="0"/>
          <w:sz w:val="28"/>
          <w:szCs w:val="28"/>
        </w:rPr>
        <w:t>30%</w:t>
      </w:r>
      <w:r>
        <w:rPr>
          <w:rFonts w:hint="eastAsia" w:ascii="宋体" w:hAnsi="宋体" w:cs="宋体"/>
          <w:kern w:val="0"/>
          <w:sz w:val="28"/>
          <w:szCs w:val="28"/>
        </w:rPr>
        <w:t>。计算方法为：素质拓展模块分</w:t>
      </w:r>
      <w:r>
        <w:rPr>
          <w:rFonts w:ascii="宋体" w:hAnsi="宋体" w:cs="宋体"/>
          <w:kern w:val="0"/>
          <w:sz w:val="28"/>
          <w:szCs w:val="28"/>
        </w:rPr>
        <w:t>=</w:t>
      </w:r>
      <w:r>
        <w:rPr>
          <w:rFonts w:hint="eastAsia" w:ascii="宋体" w:hAnsi="宋体" w:cs="宋体"/>
          <w:kern w:val="0"/>
          <w:sz w:val="28"/>
          <w:szCs w:val="28"/>
        </w:rPr>
        <w:t>任职得分</w:t>
      </w:r>
      <w:r>
        <w:rPr>
          <w:rFonts w:ascii="宋体" w:hAnsi="宋体" w:cs="宋体"/>
          <w:kern w:val="0"/>
          <w:sz w:val="28"/>
          <w:szCs w:val="28"/>
        </w:rPr>
        <w:t>+</w:t>
      </w:r>
      <w:r>
        <w:rPr>
          <w:rFonts w:hint="eastAsia" w:ascii="宋体" w:hAnsi="宋体" w:cs="宋体"/>
          <w:kern w:val="0"/>
          <w:sz w:val="28"/>
          <w:szCs w:val="28"/>
        </w:rPr>
        <w:t>创业活动得分</w:t>
      </w:r>
      <w:r>
        <w:rPr>
          <w:rFonts w:ascii="宋体" w:hAnsi="宋体" w:cs="宋体"/>
          <w:kern w:val="0"/>
          <w:sz w:val="28"/>
          <w:szCs w:val="28"/>
        </w:rPr>
        <w:t>+</w:t>
      </w:r>
      <w:r>
        <w:rPr>
          <w:rFonts w:hint="eastAsia" w:ascii="宋体" w:hAnsi="宋体" w:cs="宋体"/>
          <w:kern w:val="0"/>
          <w:sz w:val="28"/>
          <w:szCs w:val="28"/>
        </w:rPr>
        <w:t>比赛获奖得分</w:t>
      </w:r>
      <w:r>
        <w:rPr>
          <w:rFonts w:ascii="宋体" w:hAnsi="宋体" w:cs="宋体"/>
          <w:kern w:val="0"/>
          <w:sz w:val="28"/>
          <w:szCs w:val="28"/>
        </w:rPr>
        <w:t>+</w:t>
      </w:r>
      <w:r>
        <w:rPr>
          <w:rFonts w:hint="eastAsia" w:ascii="宋体" w:hAnsi="宋体" w:cs="宋体"/>
          <w:kern w:val="0"/>
          <w:sz w:val="28"/>
          <w:szCs w:val="28"/>
        </w:rPr>
        <w:t>荣誉表彰得分</w:t>
      </w:r>
    </w:p>
    <w:p>
      <w:pPr>
        <w:widowControl/>
        <w:spacing w:line="360" w:lineRule="auto"/>
        <w:ind w:firstLine="562" w:firstLineChars="200"/>
        <w:jc w:val="left"/>
        <w:rPr>
          <w:rFonts w:ascii="宋体"/>
          <w:b/>
          <w:bCs/>
          <w:sz w:val="28"/>
          <w:szCs w:val="28"/>
        </w:rPr>
      </w:pPr>
      <w:r>
        <w:rPr>
          <w:rFonts w:hint="eastAsia" w:ascii="宋体" w:hAnsi="宋体"/>
          <w:b/>
          <w:bCs/>
          <w:sz w:val="28"/>
          <w:szCs w:val="28"/>
        </w:rPr>
        <w:t>一、任职得分标准</w:t>
      </w:r>
    </w:p>
    <w:p>
      <w:pPr>
        <w:spacing w:line="360" w:lineRule="auto"/>
        <w:ind w:firstLine="560" w:firstLineChars="200"/>
        <w:rPr>
          <w:rFonts w:ascii="宋体" w:cs="宋体"/>
          <w:kern w:val="0"/>
          <w:sz w:val="28"/>
          <w:szCs w:val="28"/>
        </w:rPr>
      </w:pPr>
      <w:r>
        <w:rPr>
          <w:rFonts w:hint="eastAsia" w:ascii="宋体" w:hAnsi="宋体" w:cs="宋体"/>
          <w:kern w:val="0"/>
          <w:sz w:val="28"/>
          <w:szCs w:val="28"/>
        </w:rPr>
        <w:t>任职得分</w:t>
      </w:r>
      <w:r>
        <w:rPr>
          <w:rFonts w:ascii="宋体" w:hAnsi="宋体" w:cs="宋体"/>
          <w:kern w:val="0"/>
          <w:sz w:val="28"/>
          <w:szCs w:val="28"/>
        </w:rPr>
        <w:t>=</w:t>
      </w:r>
      <w:r>
        <w:rPr>
          <w:rFonts w:hint="eastAsia" w:ascii="宋体" w:hAnsi="宋体" w:cs="宋体"/>
          <w:kern w:val="0"/>
          <w:sz w:val="28"/>
          <w:szCs w:val="28"/>
        </w:rPr>
        <w:t>任职岗位分</w:t>
      </w:r>
      <w:r>
        <w:rPr>
          <w:rFonts w:ascii="宋体" w:hAnsi="宋体" w:cs="宋体"/>
          <w:kern w:val="0"/>
          <w:sz w:val="28"/>
          <w:szCs w:val="28"/>
        </w:rPr>
        <w:t>+</w:t>
      </w:r>
      <w:r>
        <w:rPr>
          <w:rFonts w:hint="eastAsia" w:ascii="宋体" w:hAnsi="宋体" w:cs="宋体"/>
          <w:kern w:val="0"/>
          <w:sz w:val="28"/>
          <w:szCs w:val="28"/>
        </w:rPr>
        <w:t>考核等级分</w:t>
      </w:r>
    </w:p>
    <w:p>
      <w:pPr>
        <w:spacing w:line="360" w:lineRule="auto"/>
        <w:ind w:firstLine="422" w:firstLineChars="150"/>
        <w:rPr>
          <w:rFonts w:ascii="宋体" w:cs="宋体"/>
          <w:b/>
          <w:bCs/>
          <w:kern w:val="0"/>
          <w:sz w:val="28"/>
          <w:szCs w:val="28"/>
        </w:rPr>
      </w:pPr>
      <w:r>
        <w:rPr>
          <w:rFonts w:ascii="宋体" w:hAnsi="宋体" w:cs="宋体"/>
          <w:b/>
          <w:bCs/>
          <w:kern w:val="0"/>
          <w:sz w:val="28"/>
          <w:szCs w:val="28"/>
        </w:rPr>
        <w:t>1.</w:t>
      </w:r>
      <w:r>
        <w:rPr>
          <w:rFonts w:hint="eastAsia" w:ascii="宋体" w:hAnsi="宋体" w:cs="宋体"/>
          <w:b/>
          <w:bCs/>
          <w:kern w:val="0"/>
          <w:sz w:val="28"/>
          <w:szCs w:val="28"/>
        </w:rPr>
        <w:t>任职分类</w:t>
      </w:r>
    </w:p>
    <w:p>
      <w:pPr>
        <w:spacing w:line="360" w:lineRule="auto"/>
        <w:ind w:firstLine="560" w:firstLineChars="200"/>
        <w:rPr>
          <w:rFonts w:ascii="宋体" w:cs="宋体"/>
          <w:kern w:val="0"/>
          <w:sz w:val="28"/>
          <w:szCs w:val="28"/>
        </w:rPr>
      </w:pPr>
      <w:r>
        <w:rPr>
          <w:rFonts w:hint="eastAsia" w:ascii="宋体" w:hAnsi="宋体" w:cs="宋体"/>
          <w:kern w:val="0"/>
          <w:sz w:val="28"/>
          <w:szCs w:val="28"/>
        </w:rPr>
        <w:t>一类：校研究生会主席团成员；二类：校研究生会部长、副部长，院研究生会主席团成员，协会负责人</w:t>
      </w:r>
      <w:r>
        <w:rPr>
          <w:rFonts w:hint="eastAsia" w:ascii="宋体" w:hAnsi="宋体" w:cs="宋体"/>
          <w:kern w:val="0"/>
          <w:sz w:val="28"/>
          <w:szCs w:val="28"/>
          <w:lang w:eastAsia="zh-CN"/>
        </w:rPr>
        <w:t>、</w:t>
      </w:r>
      <w:r>
        <w:rPr>
          <w:rFonts w:hint="eastAsia" w:ascii="宋体" w:hAnsi="宋体" w:cs="宋体"/>
          <w:kern w:val="0"/>
          <w:sz w:val="28"/>
          <w:szCs w:val="28"/>
        </w:rPr>
        <w:t>经研工部认定的校内外挂职研究生；三类：校研究生会干事，院研究生会部长、副部长，班长，党团支部书记，协会部门负责人；四类：院研究生会干事、班委、党团支部委员、协会干事、寝室长。</w:t>
      </w:r>
    </w:p>
    <w:p>
      <w:pPr>
        <w:spacing w:line="360" w:lineRule="auto"/>
        <w:ind w:firstLine="422" w:firstLineChars="150"/>
        <w:rPr>
          <w:rFonts w:ascii="宋体" w:cs="宋体"/>
          <w:b/>
          <w:bCs/>
          <w:kern w:val="0"/>
          <w:sz w:val="28"/>
          <w:szCs w:val="28"/>
        </w:rPr>
      </w:pPr>
      <w:r>
        <w:rPr>
          <w:rFonts w:ascii="宋体" w:hAnsi="宋体" w:cs="宋体"/>
          <w:b/>
          <w:bCs/>
          <w:kern w:val="0"/>
          <w:sz w:val="28"/>
          <w:szCs w:val="28"/>
        </w:rPr>
        <w:t>2.</w:t>
      </w:r>
      <w:r>
        <w:rPr>
          <w:rFonts w:hint="eastAsia" w:ascii="宋体" w:hAnsi="宋体" w:cs="宋体"/>
          <w:b/>
          <w:bCs/>
          <w:kern w:val="0"/>
          <w:sz w:val="28"/>
          <w:szCs w:val="28"/>
        </w:rPr>
        <w:t>任职加分明细表</w:t>
      </w:r>
    </w:p>
    <w:tbl>
      <w:tblPr>
        <w:tblStyle w:val="8"/>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716"/>
        <w:gridCol w:w="1561"/>
        <w:gridCol w:w="156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2" w:type="dxa"/>
            <w:vMerge w:val="restart"/>
          </w:tcPr>
          <w:p>
            <w:pPr>
              <w:tabs>
                <w:tab w:val="center" w:pos="652"/>
              </w:tabs>
              <w:spacing w:line="360" w:lineRule="auto"/>
              <w:rPr>
                <w:rFonts w:ascii="宋体" w:cs="仿宋_GB2312+FPEF"/>
                <w:kern w:val="0"/>
                <w:szCs w:val="21"/>
              </w:rPr>
            </w:pPr>
            <w:r>
              <w:pict>
                <v:line id="__TH_L90" o:spid="_x0000_s1026" o:spt="20" style="position:absolute;left:0pt;margin-left:-4.9pt;margin-top:-0.5pt;height:55pt;width:84.9pt;z-index:251659264;mso-width-relative:page;mso-height-relative:page;" coordsize="21600,21600">
                  <v:path arrowok="t"/>
                  <v:fill focussize="0,0"/>
                  <v:stroke weight="0.5pt"/>
                  <v:imagedata o:title=""/>
                  <o:lock v:ext="edit"/>
                </v:line>
              </w:pict>
            </w:r>
            <w:r>
              <w:rPr>
                <w:rFonts w:ascii="宋体" w:cs="仿宋_GB2312+FPEF"/>
                <w:kern w:val="0"/>
                <w:sz w:val="24"/>
              </w:rPr>
              <w:tab/>
            </w:r>
            <w:r>
              <w:rPr>
                <w:rFonts w:ascii="宋体" w:hAnsi="宋体" w:cs="仿宋_GB2312+FPEF"/>
                <w:kern w:val="0"/>
                <w:sz w:val="24"/>
              </w:rPr>
              <w:t xml:space="preserve">   </w:t>
            </w:r>
            <w:r>
              <w:rPr>
                <w:rFonts w:hint="eastAsia" w:ascii="宋体" w:hAnsi="宋体" w:cs="仿宋_GB2312+FPEF"/>
                <w:kern w:val="0"/>
                <w:szCs w:val="21"/>
              </w:rPr>
              <w:t>任职岗位分</w:t>
            </w:r>
            <w:r>
              <w:rPr>
                <w:rFonts w:ascii="宋体" w:hAnsi="宋体" w:cs="仿宋_GB2312+FPEF"/>
                <w:kern w:val="0"/>
                <w:szCs w:val="21"/>
              </w:rPr>
              <w:t xml:space="preserve">  </w:t>
            </w:r>
            <w:r>
              <w:rPr>
                <w:rFonts w:hint="eastAsia" w:ascii="宋体" w:hAnsi="宋体" w:cs="仿宋_GB2312+FPEF"/>
                <w:szCs w:val="21"/>
              </w:rPr>
              <w:t>考核等级分</w:t>
            </w:r>
          </w:p>
        </w:tc>
        <w:tc>
          <w:tcPr>
            <w:tcW w:w="1716" w:type="dxa"/>
            <w:vAlign w:val="center"/>
          </w:tcPr>
          <w:p>
            <w:pPr>
              <w:spacing w:line="360" w:lineRule="auto"/>
              <w:jc w:val="center"/>
              <w:rPr>
                <w:rFonts w:ascii="宋体" w:cs="仿宋_GB2312+FPEF"/>
                <w:kern w:val="0"/>
                <w:sz w:val="24"/>
              </w:rPr>
            </w:pPr>
            <w:r>
              <w:rPr>
                <w:rFonts w:hint="eastAsia" w:ascii="宋体" w:hAnsi="宋体" w:cs="仿宋_GB2312+FPEF"/>
                <w:kern w:val="0"/>
                <w:sz w:val="24"/>
              </w:rPr>
              <w:t>一类</w:t>
            </w:r>
          </w:p>
        </w:tc>
        <w:tc>
          <w:tcPr>
            <w:tcW w:w="1561" w:type="dxa"/>
            <w:vAlign w:val="center"/>
          </w:tcPr>
          <w:p>
            <w:pPr>
              <w:spacing w:line="360" w:lineRule="auto"/>
              <w:jc w:val="center"/>
              <w:rPr>
                <w:rFonts w:ascii="宋体" w:cs="仿宋_GB2312+FPEF"/>
                <w:kern w:val="0"/>
                <w:sz w:val="24"/>
              </w:rPr>
            </w:pPr>
            <w:r>
              <w:rPr>
                <w:rFonts w:hint="eastAsia" w:ascii="宋体" w:hAnsi="宋体" w:cs="仿宋_GB2312+FPEF"/>
                <w:kern w:val="0"/>
                <w:sz w:val="24"/>
              </w:rPr>
              <w:t>二类</w:t>
            </w:r>
          </w:p>
        </w:tc>
        <w:tc>
          <w:tcPr>
            <w:tcW w:w="1563" w:type="dxa"/>
            <w:vAlign w:val="center"/>
          </w:tcPr>
          <w:p>
            <w:pPr>
              <w:spacing w:line="360" w:lineRule="auto"/>
              <w:jc w:val="center"/>
              <w:rPr>
                <w:rFonts w:ascii="宋体" w:cs="仿宋_GB2312+FPEF"/>
                <w:kern w:val="0"/>
                <w:sz w:val="24"/>
              </w:rPr>
            </w:pPr>
            <w:r>
              <w:rPr>
                <w:rFonts w:hint="eastAsia" w:ascii="宋体" w:hAnsi="宋体" w:cs="仿宋_GB2312+FPEF"/>
                <w:kern w:val="0"/>
                <w:sz w:val="24"/>
              </w:rPr>
              <w:t>三类</w:t>
            </w:r>
          </w:p>
        </w:tc>
        <w:tc>
          <w:tcPr>
            <w:tcW w:w="1563" w:type="dxa"/>
            <w:vAlign w:val="center"/>
          </w:tcPr>
          <w:p>
            <w:pPr>
              <w:spacing w:line="360" w:lineRule="auto"/>
              <w:jc w:val="center"/>
              <w:rPr>
                <w:rFonts w:ascii="宋体" w:cs="仿宋_GB2312+FPEF"/>
                <w:kern w:val="0"/>
                <w:sz w:val="24"/>
              </w:rPr>
            </w:pPr>
            <w:r>
              <w:rPr>
                <w:rFonts w:hint="eastAsia" w:ascii="宋体" w:hAnsi="宋体" w:cs="仿宋_GB2312+FPEF"/>
                <w:kern w:val="0"/>
                <w:sz w:val="24"/>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2" w:type="dxa"/>
            <w:vMerge w:val="continue"/>
          </w:tcPr>
          <w:p>
            <w:pPr>
              <w:spacing w:line="360" w:lineRule="auto"/>
              <w:rPr>
                <w:rFonts w:ascii="宋体" w:cs="仿宋_GB2312+FPEF"/>
                <w:kern w:val="0"/>
                <w:sz w:val="24"/>
              </w:rPr>
            </w:pPr>
          </w:p>
        </w:tc>
        <w:tc>
          <w:tcPr>
            <w:tcW w:w="1716" w:type="dxa"/>
            <w:vAlign w:val="center"/>
          </w:tcPr>
          <w:p>
            <w:pPr>
              <w:spacing w:line="360" w:lineRule="auto"/>
              <w:jc w:val="center"/>
              <w:rPr>
                <w:rFonts w:ascii="宋体" w:cs="仿宋_GB2312+FPEF"/>
                <w:kern w:val="0"/>
                <w:sz w:val="24"/>
              </w:rPr>
            </w:pPr>
            <w:r>
              <w:rPr>
                <w:rFonts w:ascii="宋体" w:hAnsi="宋体" w:cs="仿宋_GB2312+FPEF"/>
                <w:kern w:val="0"/>
                <w:sz w:val="24"/>
              </w:rPr>
              <w:t>30</w:t>
            </w:r>
          </w:p>
        </w:tc>
        <w:tc>
          <w:tcPr>
            <w:tcW w:w="1561" w:type="dxa"/>
            <w:vAlign w:val="center"/>
          </w:tcPr>
          <w:p>
            <w:pPr>
              <w:spacing w:line="360" w:lineRule="auto"/>
              <w:jc w:val="center"/>
              <w:rPr>
                <w:rFonts w:ascii="宋体" w:cs="仿宋_GB2312+FPEF"/>
                <w:kern w:val="0"/>
                <w:sz w:val="24"/>
              </w:rPr>
            </w:pPr>
            <w:r>
              <w:rPr>
                <w:rFonts w:ascii="宋体" w:hAnsi="宋体" w:cs="仿宋_GB2312+FPEF"/>
                <w:kern w:val="0"/>
                <w:sz w:val="24"/>
              </w:rPr>
              <w:t>24</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16</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22" w:type="dxa"/>
            <w:vAlign w:val="center"/>
          </w:tcPr>
          <w:p>
            <w:pPr>
              <w:spacing w:line="360" w:lineRule="auto"/>
              <w:jc w:val="center"/>
              <w:rPr>
                <w:rFonts w:ascii="宋体" w:hAnsi="宋体" w:cs="仿宋_GB2312+FPEF"/>
                <w:kern w:val="0"/>
                <w:sz w:val="24"/>
              </w:rPr>
            </w:pPr>
            <w:r>
              <w:rPr>
                <w:rFonts w:ascii="宋体" w:hAnsi="宋体" w:cs="仿宋_GB2312+FPEF"/>
                <w:kern w:val="0"/>
                <w:sz w:val="24"/>
              </w:rPr>
              <w:t>A</w:t>
            </w:r>
          </w:p>
        </w:tc>
        <w:tc>
          <w:tcPr>
            <w:tcW w:w="1716" w:type="dxa"/>
            <w:vAlign w:val="center"/>
          </w:tcPr>
          <w:p>
            <w:pPr>
              <w:spacing w:line="360" w:lineRule="auto"/>
              <w:jc w:val="center"/>
              <w:rPr>
                <w:rFonts w:ascii="宋体" w:cs="仿宋_GB2312+FPEF"/>
                <w:kern w:val="0"/>
                <w:sz w:val="24"/>
              </w:rPr>
            </w:pPr>
            <w:r>
              <w:rPr>
                <w:rFonts w:ascii="宋体" w:hAnsi="宋体" w:cs="仿宋_GB2312+FPEF"/>
                <w:kern w:val="0"/>
                <w:sz w:val="24"/>
              </w:rPr>
              <w:t>+</w:t>
            </w:r>
            <w:r>
              <w:rPr>
                <w:rFonts w:hint="eastAsia" w:ascii="宋体" w:hAnsi="宋体" w:cs="仿宋_GB2312+FPEF"/>
                <w:kern w:val="0"/>
                <w:sz w:val="24"/>
                <w:lang w:val="en-US" w:eastAsia="zh-CN"/>
              </w:rPr>
              <w:t>30</w:t>
            </w:r>
          </w:p>
        </w:tc>
        <w:tc>
          <w:tcPr>
            <w:tcW w:w="1561" w:type="dxa"/>
            <w:vAlign w:val="center"/>
          </w:tcPr>
          <w:p>
            <w:pPr>
              <w:spacing w:line="360" w:lineRule="auto"/>
              <w:jc w:val="center"/>
              <w:rPr>
                <w:rFonts w:ascii="宋体" w:cs="仿宋_GB2312+FPEF"/>
                <w:kern w:val="0"/>
                <w:sz w:val="24"/>
              </w:rPr>
            </w:pPr>
            <w:r>
              <w:rPr>
                <w:rFonts w:ascii="宋体" w:hAnsi="宋体" w:cs="仿宋_GB2312+FPEF"/>
                <w:kern w:val="0"/>
                <w:sz w:val="24"/>
              </w:rPr>
              <w:t>+</w:t>
            </w:r>
            <w:r>
              <w:rPr>
                <w:rFonts w:hint="eastAsia" w:ascii="宋体" w:hAnsi="宋体" w:cs="仿宋_GB2312+FPEF"/>
                <w:kern w:val="0"/>
                <w:sz w:val="24"/>
                <w:lang w:val="en-US" w:eastAsia="zh-CN"/>
              </w:rPr>
              <w:t>24</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w:t>
            </w:r>
            <w:r>
              <w:rPr>
                <w:rFonts w:hint="eastAsia" w:ascii="宋体" w:hAnsi="宋体" w:cs="仿宋_GB2312+FPEF"/>
                <w:kern w:val="0"/>
                <w:sz w:val="24"/>
                <w:lang w:val="en-US" w:eastAsia="zh-CN"/>
              </w:rPr>
              <w:t>16</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w:t>
            </w:r>
            <w:r>
              <w:rPr>
                <w:rFonts w:hint="eastAsia" w:ascii="宋体" w:hAnsi="宋体" w:cs="仿宋_GB2312+FPEF"/>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2" w:type="dxa"/>
            <w:vAlign w:val="center"/>
          </w:tcPr>
          <w:p>
            <w:pPr>
              <w:spacing w:line="360" w:lineRule="auto"/>
              <w:jc w:val="center"/>
              <w:rPr>
                <w:rFonts w:ascii="宋体" w:cs="仿宋_GB2312+FPEF"/>
                <w:kern w:val="0"/>
                <w:sz w:val="24"/>
              </w:rPr>
            </w:pPr>
            <w:r>
              <w:rPr>
                <w:rFonts w:ascii="宋体" w:hAnsi="宋体" w:cs="仿宋_GB2312+FPEF"/>
                <w:kern w:val="0"/>
                <w:sz w:val="24"/>
              </w:rPr>
              <w:t>B</w:t>
            </w:r>
          </w:p>
        </w:tc>
        <w:tc>
          <w:tcPr>
            <w:tcW w:w="1716" w:type="dxa"/>
            <w:vAlign w:val="center"/>
          </w:tcPr>
          <w:p>
            <w:pPr>
              <w:spacing w:line="360" w:lineRule="auto"/>
              <w:jc w:val="center"/>
              <w:rPr>
                <w:rFonts w:hint="default" w:ascii="宋体" w:eastAsia="宋体" w:cs="仿宋_GB2312+FPEF"/>
                <w:kern w:val="0"/>
                <w:sz w:val="24"/>
                <w:highlight w:val="yellow"/>
                <w:lang w:val="en-US" w:eastAsia="zh-CN"/>
              </w:rPr>
            </w:pPr>
            <w:r>
              <w:rPr>
                <w:rFonts w:hint="eastAsia" w:ascii="宋体" w:cs="仿宋_GB2312+FPEF"/>
                <w:kern w:val="0"/>
                <w:sz w:val="24"/>
                <w:highlight w:val="yellow"/>
                <w:lang w:val="en-US" w:eastAsia="zh-CN"/>
              </w:rPr>
              <w:t>+15</w:t>
            </w:r>
          </w:p>
        </w:tc>
        <w:tc>
          <w:tcPr>
            <w:tcW w:w="1561" w:type="dxa"/>
            <w:vAlign w:val="center"/>
          </w:tcPr>
          <w:p>
            <w:pPr>
              <w:spacing w:line="360" w:lineRule="auto"/>
              <w:jc w:val="center"/>
              <w:rPr>
                <w:rFonts w:hint="default" w:ascii="宋体" w:eastAsia="宋体" w:cs="仿宋_GB2312+FPEF"/>
                <w:kern w:val="0"/>
                <w:sz w:val="24"/>
                <w:highlight w:val="yellow"/>
                <w:lang w:val="en-US" w:eastAsia="zh-CN"/>
              </w:rPr>
            </w:pPr>
            <w:r>
              <w:rPr>
                <w:rFonts w:hint="eastAsia" w:ascii="宋体" w:cs="仿宋_GB2312+FPEF"/>
                <w:kern w:val="0"/>
                <w:sz w:val="24"/>
                <w:highlight w:val="yellow"/>
                <w:lang w:val="en-US" w:eastAsia="zh-CN"/>
              </w:rPr>
              <w:t>+12</w:t>
            </w:r>
          </w:p>
        </w:tc>
        <w:tc>
          <w:tcPr>
            <w:tcW w:w="1563" w:type="dxa"/>
            <w:vAlign w:val="center"/>
          </w:tcPr>
          <w:p>
            <w:pPr>
              <w:spacing w:line="360" w:lineRule="auto"/>
              <w:jc w:val="center"/>
              <w:rPr>
                <w:rFonts w:hint="default" w:ascii="宋体" w:eastAsia="宋体" w:cs="仿宋_GB2312+FPEF"/>
                <w:kern w:val="0"/>
                <w:sz w:val="24"/>
                <w:highlight w:val="yellow"/>
                <w:lang w:val="en-US" w:eastAsia="zh-CN"/>
              </w:rPr>
            </w:pPr>
            <w:r>
              <w:rPr>
                <w:rFonts w:hint="eastAsia" w:ascii="宋体" w:cs="仿宋_GB2312+FPEF"/>
                <w:kern w:val="0"/>
                <w:sz w:val="24"/>
                <w:highlight w:val="yellow"/>
                <w:lang w:val="en-US" w:eastAsia="zh-CN"/>
              </w:rPr>
              <w:t>+8</w:t>
            </w:r>
          </w:p>
        </w:tc>
        <w:tc>
          <w:tcPr>
            <w:tcW w:w="1563" w:type="dxa"/>
            <w:vAlign w:val="center"/>
          </w:tcPr>
          <w:p>
            <w:pPr>
              <w:spacing w:line="360" w:lineRule="auto"/>
              <w:jc w:val="center"/>
              <w:rPr>
                <w:rFonts w:hint="eastAsia" w:ascii="宋体" w:eastAsia="宋体" w:cs="仿宋_GB2312+FPEF"/>
                <w:kern w:val="0"/>
                <w:sz w:val="24"/>
                <w:highlight w:val="yellow"/>
                <w:lang w:eastAsia="zh-CN"/>
              </w:rPr>
            </w:pPr>
            <w:r>
              <w:rPr>
                <w:rFonts w:hint="eastAsia" w:ascii="宋体" w:cs="仿宋_GB2312+FPEF"/>
                <w:kern w:val="0"/>
                <w:sz w:val="24"/>
                <w:highlight w:val="yellow"/>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2" w:type="dxa"/>
            <w:vAlign w:val="center"/>
          </w:tcPr>
          <w:p>
            <w:pPr>
              <w:spacing w:line="360" w:lineRule="auto"/>
              <w:jc w:val="center"/>
              <w:rPr>
                <w:rFonts w:ascii="宋体" w:cs="仿宋_GB2312+FPEF"/>
                <w:kern w:val="0"/>
                <w:sz w:val="24"/>
              </w:rPr>
            </w:pPr>
            <w:r>
              <w:rPr>
                <w:rFonts w:ascii="宋体" w:hAnsi="宋体" w:cs="仿宋_GB2312+FPEF"/>
                <w:kern w:val="0"/>
                <w:sz w:val="24"/>
              </w:rPr>
              <w:t>C</w:t>
            </w:r>
          </w:p>
        </w:tc>
        <w:tc>
          <w:tcPr>
            <w:tcW w:w="1716" w:type="dxa"/>
            <w:vAlign w:val="center"/>
          </w:tcPr>
          <w:p>
            <w:pPr>
              <w:spacing w:line="360" w:lineRule="auto"/>
              <w:jc w:val="center"/>
              <w:rPr>
                <w:rFonts w:ascii="宋体" w:cs="仿宋_GB2312+FPEF"/>
                <w:kern w:val="0"/>
                <w:sz w:val="24"/>
              </w:rPr>
            </w:pPr>
            <w:r>
              <w:rPr>
                <w:rFonts w:ascii="宋体" w:hAnsi="宋体" w:cs="仿宋_GB2312+FPEF"/>
                <w:kern w:val="0"/>
                <w:sz w:val="24"/>
              </w:rPr>
              <w:t>-30</w:t>
            </w:r>
          </w:p>
        </w:tc>
        <w:tc>
          <w:tcPr>
            <w:tcW w:w="1561" w:type="dxa"/>
            <w:vAlign w:val="center"/>
          </w:tcPr>
          <w:p>
            <w:pPr>
              <w:spacing w:line="360" w:lineRule="auto"/>
              <w:jc w:val="center"/>
              <w:rPr>
                <w:rFonts w:ascii="宋体" w:cs="仿宋_GB2312+FPEF"/>
                <w:kern w:val="0"/>
                <w:sz w:val="24"/>
              </w:rPr>
            </w:pPr>
            <w:r>
              <w:rPr>
                <w:rFonts w:ascii="宋体" w:hAnsi="宋体" w:cs="仿宋_GB2312+FPEF"/>
                <w:kern w:val="0"/>
                <w:sz w:val="24"/>
              </w:rPr>
              <w:t>-24</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-16</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-8</w:t>
            </w:r>
          </w:p>
        </w:tc>
      </w:tr>
    </w:tbl>
    <w:p>
      <w:pPr>
        <w:spacing w:line="360" w:lineRule="auto"/>
        <w:ind w:firstLine="480" w:firstLineChars="200"/>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）担任多项职务者以最高职务类别计分，任职半年得分按</w:t>
      </w:r>
      <w:r>
        <w:rPr>
          <w:rFonts w:ascii="宋体" w:hAnsi="宋体"/>
          <w:sz w:val="24"/>
          <w:szCs w:val="24"/>
        </w:rPr>
        <w:t>50%</w:t>
      </w:r>
      <w:r>
        <w:rPr>
          <w:rFonts w:hint="eastAsia" w:ascii="宋体" w:hAnsi="宋体"/>
          <w:sz w:val="24"/>
          <w:szCs w:val="24"/>
        </w:rPr>
        <w:t>计算，</w:t>
      </w:r>
      <w:bookmarkStart w:id="0" w:name="_GoBack"/>
      <w:bookmarkEnd w:id="0"/>
      <w:r>
        <w:rPr>
          <w:rFonts w:hint="eastAsia" w:ascii="宋体" w:hAnsi="宋体"/>
          <w:sz w:val="24"/>
          <w:szCs w:val="24"/>
        </w:rPr>
        <w:t>任职不足半年不予计分。（</w:t>
      </w:r>
      <w:r>
        <w:rPr>
          <w:rFonts w:ascii="宋体" w:hAnsi="宋体"/>
          <w:sz w:val="24"/>
          <w:szCs w:val="24"/>
        </w:rPr>
        <w:t>2</w:t>
      </w:r>
      <w:r>
        <w:rPr>
          <w:rFonts w:hint="eastAsia" w:ascii="宋体" w:hAnsi="宋体"/>
          <w:sz w:val="24"/>
          <w:szCs w:val="24"/>
        </w:rPr>
        <w:t>）考核获得</w:t>
      </w:r>
      <w:r>
        <w:rPr>
          <w:rFonts w:ascii="宋体" w:hAnsi="宋体"/>
          <w:sz w:val="24"/>
          <w:szCs w:val="24"/>
        </w:rPr>
        <w:t>A</w:t>
      </w:r>
      <w:r>
        <w:rPr>
          <w:rFonts w:hint="eastAsia" w:ascii="宋体" w:hAnsi="宋体"/>
          <w:sz w:val="24"/>
          <w:szCs w:val="24"/>
        </w:rPr>
        <w:t>类等级的比例不得高于</w:t>
      </w:r>
      <w:r>
        <w:rPr>
          <w:rFonts w:ascii="宋体" w:hAnsi="宋体"/>
          <w:sz w:val="24"/>
          <w:szCs w:val="24"/>
        </w:rPr>
        <w:t>30%</w:t>
      </w:r>
      <w:r>
        <w:rPr>
          <w:rFonts w:hint="eastAsia" w:ascii="宋体" w:hAnsi="宋体"/>
          <w:sz w:val="24"/>
          <w:szCs w:val="24"/>
        </w:rPr>
        <w:t>。（</w:t>
      </w:r>
      <w:r>
        <w:rPr>
          <w:rFonts w:ascii="宋体" w:hAnsi="宋体"/>
          <w:sz w:val="24"/>
          <w:szCs w:val="24"/>
        </w:rPr>
        <w:t>3</w:t>
      </w:r>
      <w:r>
        <w:rPr>
          <w:rFonts w:hint="eastAsia" w:ascii="宋体" w:hAnsi="宋体"/>
          <w:sz w:val="24"/>
          <w:szCs w:val="24"/>
        </w:rPr>
        <w:t>）按课程要求参加社会实践、实习和参加学校有关部门组织的“三助一辅”工作的，不应加分。</w:t>
      </w:r>
    </w:p>
    <w:p>
      <w:pPr>
        <w:widowControl/>
        <w:spacing w:line="360" w:lineRule="auto"/>
        <w:ind w:firstLine="562" w:firstLineChars="200"/>
        <w:jc w:val="left"/>
        <w:rPr>
          <w:rFonts w:ascii="宋体"/>
          <w:b/>
          <w:bCs/>
          <w:sz w:val="28"/>
          <w:szCs w:val="28"/>
        </w:rPr>
      </w:pPr>
      <w:r>
        <w:rPr>
          <w:rFonts w:hint="eastAsia" w:ascii="宋体" w:hAnsi="宋体"/>
          <w:b/>
          <w:bCs/>
          <w:sz w:val="28"/>
          <w:szCs w:val="28"/>
        </w:rPr>
        <w:t>二、创业活动计分标准</w:t>
      </w:r>
    </w:p>
    <w:p>
      <w:pPr>
        <w:spacing w:line="360" w:lineRule="auto"/>
        <w:ind w:firstLine="560" w:firstLineChars="200"/>
        <w:rPr>
          <w:rFonts w:ascii="宋体" w:cs="宋体"/>
          <w:kern w:val="0"/>
          <w:sz w:val="28"/>
          <w:szCs w:val="28"/>
        </w:rPr>
      </w:pPr>
      <w:r>
        <w:rPr>
          <w:rFonts w:hint="eastAsia" w:ascii="宋体" w:hAnsi="宋体" w:cs="宋体"/>
          <w:kern w:val="0"/>
          <w:sz w:val="28"/>
          <w:szCs w:val="28"/>
        </w:rPr>
        <w:t>研究生在校期间开展创业活动，凭测评学年内办理的营业执照或纳税证明予以计分。在测评学年在工商部门注册公司并取得营业执照者，计</w:t>
      </w:r>
      <w:r>
        <w:rPr>
          <w:rFonts w:ascii="宋体" w:hAnsi="宋体" w:cs="宋体"/>
          <w:kern w:val="0"/>
          <w:sz w:val="28"/>
          <w:szCs w:val="28"/>
        </w:rPr>
        <w:t>15</w:t>
      </w:r>
      <w:r>
        <w:rPr>
          <w:rFonts w:hint="eastAsia" w:ascii="宋体" w:hAnsi="宋体" w:cs="宋体"/>
          <w:kern w:val="0"/>
          <w:sz w:val="28"/>
          <w:szCs w:val="28"/>
        </w:rPr>
        <w:t>分；在测评学年所公司纳税额</w:t>
      </w:r>
      <w:r>
        <w:rPr>
          <w:rFonts w:ascii="宋体" w:hAnsi="宋体" w:cs="宋体"/>
          <w:kern w:val="0"/>
          <w:sz w:val="28"/>
          <w:szCs w:val="28"/>
        </w:rPr>
        <w:t>0.5</w:t>
      </w:r>
      <w:r>
        <w:rPr>
          <w:rFonts w:hint="eastAsia" w:ascii="宋体" w:hAnsi="宋体" w:cs="宋体"/>
          <w:kern w:val="0"/>
          <w:sz w:val="28"/>
          <w:szCs w:val="28"/>
        </w:rPr>
        <w:t>至</w:t>
      </w:r>
      <w:r>
        <w:rPr>
          <w:rFonts w:ascii="宋体" w:hAnsi="宋体" w:cs="宋体"/>
          <w:kern w:val="0"/>
          <w:sz w:val="28"/>
          <w:szCs w:val="28"/>
        </w:rPr>
        <w:t>2</w:t>
      </w:r>
      <w:r>
        <w:rPr>
          <w:rFonts w:hint="eastAsia" w:ascii="宋体" w:hAnsi="宋体" w:cs="宋体"/>
          <w:kern w:val="0"/>
          <w:sz w:val="28"/>
          <w:szCs w:val="28"/>
        </w:rPr>
        <w:t>万元人民币，计</w:t>
      </w:r>
      <w:r>
        <w:rPr>
          <w:rFonts w:ascii="宋体" w:hAnsi="宋体" w:cs="宋体"/>
          <w:kern w:val="0"/>
          <w:sz w:val="28"/>
          <w:szCs w:val="28"/>
        </w:rPr>
        <w:t>10</w:t>
      </w:r>
      <w:r>
        <w:rPr>
          <w:rFonts w:hint="eastAsia" w:ascii="宋体" w:hAnsi="宋体" w:cs="宋体"/>
          <w:kern w:val="0"/>
          <w:sz w:val="28"/>
          <w:szCs w:val="28"/>
        </w:rPr>
        <w:t>分，纳税额</w:t>
      </w:r>
      <w:r>
        <w:rPr>
          <w:rFonts w:ascii="宋体" w:hAnsi="宋体" w:cs="宋体"/>
          <w:kern w:val="0"/>
          <w:sz w:val="28"/>
          <w:szCs w:val="28"/>
        </w:rPr>
        <w:t>2</w:t>
      </w:r>
      <w:r>
        <w:rPr>
          <w:rFonts w:hint="eastAsia" w:ascii="宋体" w:hAnsi="宋体" w:cs="宋体"/>
          <w:kern w:val="0"/>
          <w:sz w:val="28"/>
          <w:szCs w:val="28"/>
        </w:rPr>
        <w:t>至</w:t>
      </w:r>
      <w:r>
        <w:rPr>
          <w:rFonts w:ascii="宋体" w:hAnsi="宋体" w:cs="宋体"/>
          <w:kern w:val="0"/>
          <w:sz w:val="28"/>
          <w:szCs w:val="28"/>
        </w:rPr>
        <w:t>5</w:t>
      </w:r>
      <w:r>
        <w:rPr>
          <w:rFonts w:hint="eastAsia" w:ascii="宋体" w:hAnsi="宋体" w:cs="宋体"/>
          <w:kern w:val="0"/>
          <w:sz w:val="28"/>
          <w:szCs w:val="28"/>
        </w:rPr>
        <w:t>万元人民币计</w:t>
      </w:r>
      <w:r>
        <w:rPr>
          <w:rFonts w:ascii="宋体" w:hAnsi="宋体" w:cs="宋体"/>
          <w:kern w:val="0"/>
          <w:sz w:val="28"/>
          <w:szCs w:val="28"/>
        </w:rPr>
        <w:t>15</w:t>
      </w:r>
      <w:r>
        <w:rPr>
          <w:rFonts w:hint="eastAsia" w:ascii="宋体" w:hAnsi="宋体" w:cs="宋体"/>
          <w:kern w:val="0"/>
          <w:sz w:val="28"/>
          <w:szCs w:val="28"/>
        </w:rPr>
        <w:t>分，</w:t>
      </w:r>
      <w:r>
        <w:rPr>
          <w:rFonts w:ascii="宋体" w:hAnsi="宋体" w:cs="宋体"/>
          <w:kern w:val="0"/>
          <w:sz w:val="28"/>
          <w:szCs w:val="28"/>
        </w:rPr>
        <w:t>5</w:t>
      </w:r>
      <w:r>
        <w:rPr>
          <w:rFonts w:hint="eastAsia" w:ascii="宋体" w:hAnsi="宋体" w:cs="宋体"/>
          <w:kern w:val="0"/>
          <w:sz w:val="28"/>
          <w:szCs w:val="28"/>
        </w:rPr>
        <w:t>至</w:t>
      </w:r>
      <w:r>
        <w:rPr>
          <w:rFonts w:ascii="宋体" w:hAnsi="宋体" w:cs="宋体"/>
          <w:kern w:val="0"/>
          <w:sz w:val="28"/>
          <w:szCs w:val="28"/>
        </w:rPr>
        <w:t>10</w:t>
      </w:r>
      <w:r>
        <w:rPr>
          <w:rFonts w:hint="eastAsia" w:ascii="宋体" w:hAnsi="宋体" w:cs="宋体"/>
          <w:kern w:val="0"/>
          <w:sz w:val="28"/>
          <w:szCs w:val="28"/>
        </w:rPr>
        <w:t>万元人民币计</w:t>
      </w:r>
      <w:r>
        <w:rPr>
          <w:rFonts w:ascii="宋体" w:hAnsi="宋体" w:cs="宋体"/>
          <w:kern w:val="0"/>
          <w:sz w:val="28"/>
          <w:szCs w:val="28"/>
        </w:rPr>
        <w:t>20</w:t>
      </w:r>
      <w:r>
        <w:rPr>
          <w:rFonts w:hint="eastAsia" w:ascii="宋体" w:hAnsi="宋体" w:cs="宋体"/>
          <w:kern w:val="0"/>
          <w:sz w:val="28"/>
          <w:szCs w:val="28"/>
        </w:rPr>
        <w:t>分，</w:t>
      </w:r>
      <w:r>
        <w:rPr>
          <w:rFonts w:ascii="宋体" w:hAnsi="宋体" w:cs="宋体"/>
          <w:kern w:val="0"/>
          <w:sz w:val="28"/>
          <w:szCs w:val="28"/>
        </w:rPr>
        <w:t>10</w:t>
      </w:r>
      <w:r>
        <w:rPr>
          <w:rFonts w:hint="eastAsia" w:ascii="宋体" w:hAnsi="宋体" w:cs="宋体"/>
          <w:kern w:val="0"/>
          <w:sz w:val="28"/>
          <w:szCs w:val="28"/>
        </w:rPr>
        <w:t>至</w:t>
      </w:r>
      <w:r>
        <w:rPr>
          <w:rFonts w:ascii="宋体" w:hAnsi="宋体" w:cs="宋体"/>
          <w:kern w:val="0"/>
          <w:sz w:val="28"/>
          <w:szCs w:val="28"/>
        </w:rPr>
        <w:t>20</w:t>
      </w:r>
      <w:r>
        <w:rPr>
          <w:rFonts w:hint="eastAsia" w:ascii="宋体" w:hAnsi="宋体" w:cs="宋体"/>
          <w:kern w:val="0"/>
          <w:sz w:val="28"/>
          <w:szCs w:val="28"/>
        </w:rPr>
        <w:t>万元人民币计</w:t>
      </w:r>
      <w:r>
        <w:rPr>
          <w:rFonts w:ascii="宋体" w:hAnsi="宋体" w:cs="宋体"/>
          <w:kern w:val="0"/>
          <w:sz w:val="28"/>
          <w:szCs w:val="28"/>
        </w:rPr>
        <w:t>25</w:t>
      </w:r>
      <w:r>
        <w:rPr>
          <w:rFonts w:hint="eastAsia" w:ascii="宋体" w:hAnsi="宋体" w:cs="宋体"/>
          <w:kern w:val="0"/>
          <w:sz w:val="28"/>
          <w:szCs w:val="28"/>
        </w:rPr>
        <w:t>分，</w:t>
      </w:r>
      <w:r>
        <w:rPr>
          <w:rFonts w:ascii="宋体" w:hAnsi="宋体" w:cs="宋体"/>
          <w:kern w:val="0"/>
          <w:sz w:val="28"/>
          <w:szCs w:val="28"/>
        </w:rPr>
        <w:t>20-50</w:t>
      </w:r>
      <w:r>
        <w:rPr>
          <w:rFonts w:hint="eastAsia" w:ascii="宋体" w:hAnsi="宋体" w:cs="宋体"/>
          <w:kern w:val="0"/>
          <w:sz w:val="28"/>
          <w:szCs w:val="28"/>
        </w:rPr>
        <w:t>万元人民币计</w:t>
      </w:r>
      <w:r>
        <w:rPr>
          <w:rFonts w:ascii="宋体" w:hAnsi="宋体" w:cs="宋体"/>
          <w:kern w:val="0"/>
          <w:sz w:val="28"/>
          <w:szCs w:val="28"/>
        </w:rPr>
        <w:t>30</w:t>
      </w:r>
      <w:r>
        <w:rPr>
          <w:rFonts w:hint="eastAsia" w:ascii="宋体" w:hAnsi="宋体" w:cs="宋体"/>
          <w:kern w:val="0"/>
          <w:sz w:val="28"/>
          <w:szCs w:val="28"/>
        </w:rPr>
        <w:t>分，</w:t>
      </w:r>
      <w:r>
        <w:rPr>
          <w:rFonts w:ascii="宋体" w:hAnsi="宋体" w:cs="宋体"/>
          <w:kern w:val="0"/>
          <w:sz w:val="28"/>
          <w:szCs w:val="28"/>
        </w:rPr>
        <w:t>50</w:t>
      </w:r>
      <w:r>
        <w:rPr>
          <w:rFonts w:hint="eastAsia" w:ascii="宋体" w:hAnsi="宋体" w:cs="宋体"/>
          <w:kern w:val="0"/>
          <w:sz w:val="28"/>
          <w:szCs w:val="28"/>
        </w:rPr>
        <w:t>万元人民币以上计</w:t>
      </w:r>
      <w:r>
        <w:rPr>
          <w:rFonts w:ascii="宋体" w:hAnsi="宋体" w:cs="宋体"/>
          <w:kern w:val="0"/>
          <w:sz w:val="28"/>
          <w:szCs w:val="28"/>
        </w:rPr>
        <w:t>35</w:t>
      </w:r>
      <w:r>
        <w:rPr>
          <w:rFonts w:hint="eastAsia" w:ascii="宋体" w:hAnsi="宋体" w:cs="宋体"/>
          <w:kern w:val="0"/>
          <w:sz w:val="28"/>
          <w:szCs w:val="28"/>
        </w:rPr>
        <w:t>分。若为多人共同创业，则由多人平均分配相应分值。</w:t>
      </w:r>
    </w:p>
    <w:p>
      <w:pPr>
        <w:widowControl/>
        <w:spacing w:line="360" w:lineRule="auto"/>
        <w:ind w:firstLine="562" w:firstLineChars="200"/>
        <w:jc w:val="left"/>
        <w:rPr>
          <w:rFonts w:ascii="宋体"/>
          <w:b/>
          <w:bCs/>
          <w:sz w:val="28"/>
          <w:szCs w:val="28"/>
        </w:rPr>
      </w:pPr>
      <w:r>
        <w:rPr>
          <w:rFonts w:hint="eastAsia" w:ascii="宋体" w:hAnsi="宋体"/>
          <w:b/>
          <w:bCs/>
          <w:sz w:val="28"/>
          <w:szCs w:val="28"/>
        </w:rPr>
        <w:t>三、比赛获奖得分</w:t>
      </w:r>
    </w:p>
    <w:tbl>
      <w:tblPr>
        <w:tblStyle w:val="8"/>
        <w:tblW w:w="7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981"/>
        <w:gridCol w:w="810"/>
        <w:gridCol w:w="1077"/>
        <w:gridCol w:w="763"/>
        <w:gridCol w:w="796"/>
        <w:gridCol w:w="725"/>
        <w:gridCol w:w="73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044" w:type="dxa"/>
          </w:tcPr>
          <w:p>
            <w:pPr>
              <w:spacing w:line="360" w:lineRule="auto"/>
              <w:rPr>
                <w:rFonts w:ascii="宋体"/>
                <w:b/>
                <w:bCs/>
                <w:szCs w:val="21"/>
              </w:rPr>
            </w:pPr>
          </w:p>
        </w:tc>
        <w:tc>
          <w:tcPr>
            <w:tcW w:w="981" w:type="dxa"/>
            <w:vAlign w:val="center"/>
          </w:tcPr>
          <w:p>
            <w:pPr>
              <w:spacing w:line="360" w:lineRule="auto"/>
              <w:jc w:val="center"/>
              <w:rPr>
                <w:rFonts w:ascii="宋体"/>
                <w:b/>
                <w:bCs/>
                <w:szCs w:val="21"/>
              </w:rPr>
            </w:pPr>
            <w:r>
              <w:rPr>
                <w:rFonts w:hint="eastAsia" w:ascii="宋体" w:hAnsi="宋体"/>
                <w:b/>
                <w:bCs/>
                <w:szCs w:val="21"/>
              </w:rPr>
              <w:t>名次</w:t>
            </w:r>
          </w:p>
        </w:tc>
        <w:tc>
          <w:tcPr>
            <w:tcW w:w="810" w:type="dxa"/>
            <w:vAlign w:val="center"/>
          </w:tcPr>
          <w:p>
            <w:pPr>
              <w:spacing w:line="360" w:lineRule="auto"/>
              <w:jc w:val="center"/>
              <w:rPr>
                <w:rFonts w:ascii="宋体"/>
                <w:b/>
                <w:bCs/>
                <w:szCs w:val="21"/>
              </w:rPr>
            </w:pPr>
            <w:r>
              <w:rPr>
                <w:rFonts w:hint="eastAsia" w:ascii="宋体" w:hAnsi="宋体"/>
                <w:b/>
                <w:bCs/>
                <w:szCs w:val="21"/>
              </w:rPr>
              <w:t>获奖等级</w:t>
            </w:r>
          </w:p>
        </w:tc>
        <w:tc>
          <w:tcPr>
            <w:tcW w:w="1077" w:type="dxa"/>
            <w:vAlign w:val="center"/>
          </w:tcPr>
          <w:p>
            <w:pPr>
              <w:spacing w:line="360" w:lineRule="auto"/>
              <w:jc w:val="center"/>
              <w:rPr>
                <w:rFonts w:ascii="宋体"/>
                <w:b/>
                <w:bCs/>
                <w:szCs w:val="21"/>
              </w:rPr>
            </w:pPr>
            <w:r>
              <w:rPr>
                <w:rFonts w:hint="eastAsia" w:ascii="宋体" w:hAnsi="宋体"/>
                <w:b/>
                <w:bCs/>
                <w:szCs w:val="21"/>
              </w:rPr>
              <w:t>挑战杯系列</w:t>
            </w:r>
          </w:p>
        </w:tc>
        <w:tc>
          <w:tcPr>
            <w:tcW w:w="763" w:type="dxa"/>
            <w:vAlign w:val="center"/>
          </w:tcPr>
          <w:p>
            <w:pPr>
              <w:spacing w:line="360" w:lineRule="auto"/>
              <w:jc w:val="center"/>
              <w:rPr>
                <w:rFonts w:ascii="宋体"/>
                <w:b/>
                <w:bCs/>
                <w:szCs w:val="21"/>
              </w:rPr>
            </w:pPr>
            <w:r>
              <w:rPr>
                <w:rFonts w:hint="eastAsia" w:ascii="宋体" w:hAnsi="宋体"/>
                <w:b/>
                <w:bCs/>
                <w:szCs w:val="21"/>
              </w:rPr>
              <w:t>学科竞赛</w:t>
            </w:r>
          </w:p>
        </w:tc>
        <w:tc>
          <w:tcPr>
            <w:tcW w:w="796" w:type="dxa"/>
            <w:vAlign w:val="center"/>
          </w:tcPr>
          <w:p>
            <w:pPr>
              <w:spacing w:line="360" w:lineRule="auto"/>
              <w:jc w:val="center"/>
              <w:rPr>
                <w:rFonts w:ascii="宋体"/>
                <w:b/>
                <w:bCs/>
                <w:szCs w:val="21"/>
              </w:rPr>
            </w:pPr>
            <w:r>
              <w:rPr>
                <w:rFonts w:hint="eastAsia" w:ascii="宋体" w:hAnsi="宋体"/>
                <w:b/>
                <w:bCs/>
                <w:szCs w:val="21"/>
              </w:rPr>
              <w:t>学术活动</w:t>
            </w:r>
          </w:p>
        </w:tc>
        <w:tc>
          <w:tcPr>
            <w:tcW w:w="725" w:type="dxa"/>
            <w:vAlign w:val="center"/>
          </w:tcPr>
          <w:p>
            <w:pPr>
              <w:widowControl/>
              <w:spacing w:line="360" w:lineRule="auto"/>
              <w:jc w:val="center"/>
              <w:rPr>
                <w:rFonts w:ascii="宋体"/>
                <w:b/>
                <w:bCs/>
                <w:szCs w:val="21"/>
              </w:rPr>
            </w:pPr>
            <w:r>
              <w:rPr>
                <w:rFonts w:hint="eastAsia" w:ascii="宋体" w:hAnsi="宋体"/>
                <w:b/>
                <w:bCs/>
                <w:szCs w:val="21"/>
              </w:rPr>
              <w:t>社会实践</w:t>
            </w:r>
          </w:p>
        </w:tc>
        <w:tc>
          <w:tcPr>
            <w:tcW w:w="730" w:type="dxa"/>
            <w:vAlign w:val="center"/>
          </w:tcPr>
          <w:p>
            <w:pPr>
              <w:spacing w:line="360" w:lineRule="auto"/>
              <w:jc w:val="center"/>
              <w:rPr>
                <w:rFonts w:ascii="宋体"/>
                <w:szCs w:val="21"/>
              </w:rPr>
            </w:pPr>
            <w:r>
              <w:rPr>
                <w:rFonts w:hint="eastAsia" w:ascii="宋体" w:hAnsi="宋体"/>
                <w:b/>
                <w:bCs/>
                <w:szCs w:val="21"/>
              </w:rPr>
              <w:t>文体活动</w:t>
            </w:r>
          </w:p>
        </w:tc>
        <w:tc>
          <w:tcPr>
            <w:tcW w:w="730" w:type="dxa"/>
          </w:tcPr>
          <w:p>
            <w:pPr>
              <w:spacing w:line="360" w:lineRule="auto"/>
              <w:jc w:val="center"/>
              <w:rPr>
                <w:rFonts w:ascii="宋体"/>
                <w:b/>
                <w:bCs/>
                <w:szCs w:val="21"/>
              </w:rPr>
            </w:pPr>
            <w:r>
              <w:rPr>
                <w:rFonts w:hint="eastAsia" w:ascii="宋体" w:hAnsi="宋体"/>
                <w:b/>
                <w:bCs/>
                <w:szCs w:val="21"/>
              </w:rPr>
              <w:t>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hAnsi="宋体"/>
                <w:szCs w:val="21"/>
              </w:rPr>
              <w:t>国家级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hAnsi="宋体"/>
                <w:szCs w:val="21"/>
              </w:rPr>
              <w:t>50</w:t>
            </w:r>
          </w:p>
        </w:tc>
        <w:tc>
          <w:tcPr>
            <w:tcW w:w="763" w:type="dxa"/>
            <w:vAlign w:val="center"/>
          </w:tcPr>
          <w:p>
            <w:pPr>
              <w:spacing w:line="360" w:lineRule="auto"/>
              <w:jc w:val="center"/>
              <w:rPr>
                <w:rFonts w:ascii="宋体"/>
                <w:szCs w:val="21"/>
              </w:rPr>
            </w:pPr>
            <w:r>
              <w:rPr>
                <w:rFonts w:ascii="宋体"/>
                <w:szCs w:val="21"/>
              </w:rPr>
              <w:t>30</w:t>
            </w:r>
          </w:p>
        </w:tc>
        <w:tc>
          <w:tcPr>
            <w:tcW w:w="796" w:type="dxa"/>
            <w:vAlign w:val="center"/>
          </w:tcPr>
          <w:p>
            <w:pPr>
              <w:spacing w:line="360" w:lineRule="auto"/>
              <w:jc w:val="center"/>
              <w:rPr>
                <w:rFonts w:ascii="宋体"/>
                <w:szCs w:val="21"/>
              </w:rPr>
            </w:pPr>
            <w:r>
              <w:rPr>
                <w:rFonts w:ascii="宋体"/>
                <w:szCs w:val="21"/>
              </w:rPr>
              <w:t>30</w:t>
            </w:r>
          </w:p>
        </w:tc>
        <w:tc>
          <w:tcPr>
            <w:tcW w:w="725" w:type="dxa"/>
            <w:vAlign w:val="center"/>
          </w:tcPr>
          <w:p>
            <w:pPr>
              <w:spacing w:line="360" w:lineRule="auto"/>
              <w:jc w:val="center"/>
              <w:rPr>
                <w:rFonts w:ascii="宋体"/>
                <w:szCs w:val="21"/>
              </w:rPr>
            </w:pPr>
            <w:r>
              <w:rPr>
                <w:rFonts w:ascii="宋体"/>
                <w:szCs w:val="21"/>
              </w:rPr>
              <w:t>30</w:t>
            </w:r>
          </w:p>
        </w:tc>
        <w:tc>
          <w:tcPr>
            <w:tcW w:w="730" w:type="dxa"/>
            <w:vAlign w:val="center"/>
          </w:tcPr>
          <w:p>
            <w:pPr>
              <w:spacing w:line="360" w:lineRule="auto"/>
              <w:jc w:val="center"/>
              <w:rPr>
                <w:rFonts w:ascii="宋体"/>
                <w:szCs w:val="21"/>
              </w:rPr>
            </w:pPr>
            <w:r>
              <w:rPr>
                <w:rFonts w:ascii="宋体" w:hAnsi="宋体"/>
                <w:szCs w:val="21"/>
              </w:rPr>
              <w:t>20</w:t>
            </w:r>
          </w:p>
        </w:tc>
        <w:tc>
          <w:tcPr>
            <w:tcW w:w="730" w:type="dxa"/>
            <w:vMerge w:val="restart"/>
          </w:tcPr>
          <w:p>
            <w:pPr>
              <w:spacing w:line="360" w:lineRule="auto"/>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hAnsi="宋体"/>
                <w:szCs w:val="21"/>
              </w:rPr>
              <w:t>45</w:t>
            </w:r>
          </w:p>
        </w:tc>
        <w:tc>
          <w:tcPr>
            <w:tcW w:w="763" w:type="dxa"/>
            <w:vAlign w:val="center"/>
          </w:tcPr>
          <w:p>
            <w:pPr>
              <w:spacing w:line="360" w:lineRule="auto"/>
              <w:jc w:val="center"/>
              <w:rPr>
                <w:rFonts w:ascii="宋体"/>
                <w:szCs w:val="21"/>
              </w:rPr>
            </w:pPr>
            <w:r>
              <w:rPr>
                <w:rFonts w:ascii="宋体"/>
                <w:szCs w:val="21"/>
              </w:rPr>
              <w:t>28</w:t>
            </w:r>
          </w:p>
        </w:tc>
        <w:tc>
          <w:tcPr>
            <w:tcW w:w="796" w:type="dxa"/>
            <w:vAlign w:val="center"/>
          </w:tcPr>
          <w:p>
            <w:pPr>
              <w:spacing w:line="360" w:lineRule="auto"/>
              <w:jc w:val="center"/>
              <w:rPr>
                <w:rFonts w:ascii="宋体"/>
                <w:szCs w:val="21"/>
              </w:rPr>
            </w:pPr>
            <w:r>
              <w:rPr>
                <w:rFonts w:ascii="宋体"/>
                <w:szCs w:val="21"/>
              </w:rPr>
              <w:t>28</w:t>
            </w:r>
          </w:p>
        </w:tc>
        <w:tc>
          <w:tcPr>
            <w:tcW w:w="725" w:type="dxa"/>
            <w:vAlign w:val="center"/>
          </w:tcPr>
          <w:p>
            <w:pPr>
              <w:spacing w:line="360" w:lineRule="auto"/>
              <w:jc w:val="center"/>
              <w:rPr>
                <w:rFonts w:ascii="宋体"/>
                <w:szCs w:val="21"/>
              </w:rPr>
            </w:pPr>
            <w:r>
              <w:rPr>
                <w:rFonts w:ascii="宋体"/>
                <w:szCs w:val="21"/>
              </w:rPr>
              <w:t>28</w:t>
            </w:r>
          </w:p>
        </w:tc>
        <w:tc>
          <w:tcPr>
            <w:tcW w:w="730" w:type="dxa"/>
            <w:vAlign w:val="center"/>
          </w:tcPr>
          <w:p>
            <w:pPr>
              <w:spacing w:line="360" w:lineRule="auto"/>
              <w:jc w:val="center"/>
              <w:rPr>
                <w:rFonts w:ascii="宋体"/>
                <w:szCs w:val="21"/>
              </w:rPr>
            </w:pPr>
            <w:r>
              <w:rPr>
                <w:rFonts w:ascii="宋体" w:hAnsi="宋体"/>
                <w:szCs w:val="21"/>
              </w:rPr>
              <w:t>18</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hAnsi="宋体"/>
                <w:szCs w:val="21"/>
              </w:rPr>
              <w:t>40</w:t>
            </w:r>
          </w:p>
        </w:tc>
        <w:tc>
          <w:tcPr>
            <w:tcW w:w="763" w:type="dxa"/>
            <w:vAlign w:val="center"/>
          </w:tcPr>
          <w:p>
            <w:pPr>
              <w:spacing w:line="360" w:lineRule="auto"/>
              <w:jc w:val="center"/>
              <w:rPr>
                <w:rFonts w:ascii="宋体"/>
                <w:szCs w:val="21"/>
              </w:rPr>
            </w:pPr>
            <w:r>
              <w:rPr>
                <w:rFonts w:ascii="宋体"/>
                <w:szCs w:val="21"/>
              </w:rPr>
              <w:t>25</w:t>
            </w:r>
          </w:p>
        </w:tc>
        <w:tc>
          <w:tcPr>
            <w:tcW w:w="796" w:type="dxa"/>
            <w:vAlign w:val="center"/>
          </w:tcPr>
          <w:p>
            <w:pPr>
              <w:spacing w:line="360" w:lineRule="auto"/>
              <w:jc w:val="center"/>
              <w:rPr>
                <w:rFonts w:ascii="宋体"/>
                <w:szCs w:val="21"/>
              </w:rPr>
            </w:pPr>
            <w:r>
              <w:rPr>
                <w:rFonts w:ascii="宋体"/>
                <w:szCs w:val="21"/>
              </w:rPr>
              <w:t>25</w:t>
            </w:r>
          </w:p>
        </w:tc>
        <w:tc>
          <w:tcPr>
            <w:tcW w:w="725" w:type="dxa"/>
            <w:vAlign w:val="center"/>
          </w:tcPr>
          <w:p>
            <w:pPr>
              <w:spacing w:line="360" w:lineRule="auto"/>
              <w:jc w:val="center"/>
              <w:rPr>
                <w:rFonts w:ascii="宋体"/>
                <w:szCs w:val="21"/>
              </w:rPr>
            </w:pPr>
            <w:r>
              <w:rPr>
                <w:rFonts w:ascii="宋体"/>
                <w:szCs w:val="21"/>
              </w:rPr>
              <w:t>25</w:t>
            </w:r>
          </w:p>
        </w:tc>
        <w:tc>
          <w:tcPr>
            <w:tcW w:w="730" w:type="dxa"/>
            <w:vAlign w:val="center"/>
          </w:tcPr>
          <w:p>
            <w:pPr>
              <w:spacing w:line="360" w:lineRule="auto"/>
              <w:ind w:right="-90" w:rightChars="-43"/>
              <w:jc w:val="center"/>
              <w:rPr>
                <w:rFonts w:ascii="宋体"/>
                <w:szCs w:val="21"/>
              </w:rPr>
            </w:pPr>
            <w:r>
              <w:rPr>
                <w:rFonts w:ascii="宋体" w:hAnsi="宋体"/>
                <w:szCs w:val="21"/>
              </w:rPr>
              <w:t>15</w:t>
            </w:r>
          </w:p>
        </w:tc>
        <w:tc>
          <w:tcPr>
            <w:tcW w:w="730" w:type="dxa"/>
            <w:vMerge w:val="continue"/>
          </w:tcPr>
          <w:p>
            <w:pPr>
              <w:spacing w:line="360" w:lineRule="auto"/>
              <w:ind w:right="-90" w:rightChars="-4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hAnsi="宋体"/>
                <w:szCs w:val="21"/>
              </w:rPr>
              <w:t>省级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hAnsi="宋体"/>
                <w:szCs w:val="21"/>
              </w:rPr>
              <w:t>40</w:t>
            </w:r>
          </w:p>
        </w:tc>
        <w:tc>
          <w:tcPr>
            <w:tcW w:w="763" w:type="dxa"/>
            <w:vAlign w:val="center"/>
          </w:tcPr>
          <w:p>
            <w:pPr>
              <w:spacing w:line="360" w:lineRule="auto"/>
              <w:jc w:val="center"/>
              <w:rPr>
                <w:rFonts w:ascii="宋体"/>
                <w:szCs w:val="21"/>
              </w:rPr>
            </w:pPr>
            <w:r>
              <w:rPr>
                <w:rFonts w:ascii="宋体" w:hAnsi="宋体"/>
                <w:szCs w:val="21"/>
              </w:rPr>
              <w:t>25</w:t>
            </w:r>
          </w:p>
        </w:tc>
        <w:tc>
          <w:tcPr>
            <w:tcW w:w="796" w:type="dxa"/>
            <w:vAlign w:val="center"/>
          </w:tcPr>
          <w:p>
            <w:pPr>
              <w:spacing w:line="360" w:lineRule="auto"/>
              <w:jc w:val="center"/>
              <w:rPr>
                <w:rFonts w:ascii="宋体"/>
                <w:szCs w:val="21"/>
              </w:rPr>
            </w:pPr>
            <w:r>
              <w:rPr>
                <w:rFonts w:ascii="宋体" w:hAnsi="宋体"/>
                <w:szCs w:val="21"/>
              </w:rPr>
              <w:t>25</w:t>
            </w:r>
          </w:p>
        </w:tc>
        <w:tc>
          <w:tcPr>
            <w:tcW w:w="725" w:type="dxa"/>
            <w:vAlign w:val="center"/>
          </w:tcPr>
          <w:p>
            <w:pPr>
              <w:spacing w:line="360" w:lineRule="auto"/>
              <w:jc w:val="center"/>
              <w:rPr>
                <w:rFonts w:ascii="宋体"/>
                <w:szCs w:val="21"/>
              </w:rPr>
            </w:pPr>
            <w:r>
              <w:rPr>
                <w:rFonts w:ascii="宋体" w:hAnsi="宋体"/>
                <w:szCs w:val="21"/>
              </w:rPr>
              <w:t>25</w:t>
            </w:r>
          </w:p>
        </w:tc>
        <w:tc>
          <w:tcPr>
            <w:tcW w:w="730" w:type="dxa"/>
            <w:vAlign w:val="center"/>
          </w:tcPr>
          <w:p>
            <w:pPr>
              <w:spacing w:line="360" w:lineRule="auto"/>
              <w:jc w:val="center"/>
              <w:rPr>
                <w:rFonts w:ascii="宋体"/>
                <w:szCs w:val="21"/>
              </w:rPr>
            </w:pPr>
            <w:r>
              <w:rPr>
                <w:rFonts w:ascii="宋体" w:hAnsi="宋体"/>
                <w:szCs w:val="21"/>
              </w:rPr>
              <w:t>15</w:t>
            </w:r>
          </w:p>
        </w:tc>
        <w:tc>
          <w:tcPr>
            <w:tcW w:w="730" w:type="dxa"/>
            <w:vMerge w:val="restart"/>
          </w:tcPr>
          <w:p>
            <w:pPr>
              <w:spacing w:line="360" w:lineRule="auto"/>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hAnsi="宋体"/>
                <w:szCs w:val="21"/>
              </w:rPr>
              <w:t>35</w:t>
            </w:r>
          </w:p>
        </w:tc>
        <w:tc>
          <w:tcPr>
            <w:tcW w:w="763" w:type="dxa"/>
            <w:vAlign w:val="center"/>
          </w:tcPr>
          <w:p>
            <w:pPr>
              <w:spacing w:line="360" w:lineRule="auto"/>
              <w:jc w:val="center"/>
              <w:rPr>
                <w:rFonts w:ascii="宋体"/>
                <w:szCs w:val="21"/>
              </w:rPr>
            </w:pPr>
            <w:r>
              <w:rPr>
                <w:rFonts w:ascii="宋体" w:hAnsi="宋体"/>
                <w:szCs w:val="21"/>
              </w:rPr>
              <w:t>20</w:t>
            </w:r>
          </w:p>
        </w:tc>
        <w:tc>
          <w:tcPr>
            <w:tcW w:w="796" w:type="dxa"/>
            <w:vAlign w:val="center"/>
          </w:tcPr>
          <w:p>
            <w:pPr>
              <w:spacing w:line="360" w:lineRule="auto"/>
              <w:jc w:val="center"/>
              <w:rPr>
                <w:rFonts w:ascii="宋体"/>
                <w:szCs w:val="21"/>
              </w:rPr>
            </w:pPr>
            <w:r>
              <w:rPr>
                <w:rFonts w:ascii="宋体" w:hAnsi="宋体"/>
                <w:szCs w:val="21"/>
              </w:rPr>
              <w:t>20</w:t>
            </w:r>
          </w:p>
        </w:tc>
        <w:tc>
          <w:tcPr>
            <w:tcW w:w="725" w:type="dxa"/>
            <w:vAlign w:val="center"/>
          </w:tcPr>
          <w:p>
            <w:pPr>
              <w:spacing w:line="360" w:lineRule="auto"/>
              <w:jc w:val="center"/>
              <w:rPr>
                <w:rFonts w:ascii="宋体"/>
                <w:szCs w:val="21"/>
              </w:rPr>
            </w:pPr>
            <w:r>
              <w:rPr>
                <w:rFonts w:ascii="宋体"/>
                <w:szCs w:val="21"/>
              </w:rPr>
              <w:t>20</w:t>
            </w:r>
          </w:p>
        </w:tc>
        <w:tc>
          <w:tcPr>
            <w:tcW w:w="730" w:type="dxa"/>
            <w:vAlign w:val="center"/>
          </w:tcPr>
          <w:p>
            <w:pPr>
              <w:spacing w:line="360" w:lineRule="auto"/>
              <w:jc w:val="center"/>
              <w:rPr>
                <w:rFonts w:ascii="宋体"/>
                <w:szCs w:val="21"/>
              </w:rPr>
            </w:pPr>
            <w:r>
              <w:rPr>
                <w:rFonts w:ascii="宋体" w:hAnsi="宋体"/>
                <w:szCs w:val="21"/>
              </w:rPr>
              <w:t>10</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hAnsi="宋体"/>
                <w:szCs w:val="21"/>
              </w:rPr>
              <w:t>30</w:t>
            </w:r>
          </w:p>
        </w:tc>
        <w:tc>
          <w:tcPr>
            <w:tcW w:w="763" w:type="dxa"/>
            <w:vAlign w:val="center"/>
          </w:tcPr>
          <w:p>
            <w:pPr>
              <w:spacing w:line="360" w:lineRule="auto"/>
              <w:jc w:val="center"/>
              <w:rPr>
                <w:rFonts w:ascii="宋体"/>
                <w:szCs w:val="21"/>
              </w:rPr>
            </w:pPr>
            <w:r>
              <w:rPr>
                <w:rFonts w:ascii="宋体" w:hAnsi="宋体"/>
                <w:szCs w:val="21"/>
              </w:rPr>
              <w:t>15</w:t>
            </w:r>
          </w:p>
        </w:tc>
        <w:tc>
          <w:tcPr>
            <w:tcW w:w="796" w:type="dxa"/>
            <w:vAlign w:val="center"/>
          </w:tcPr>
          <w:p>
            <w:pPr>
              <w:spacing w:line="360" w:lineRule="auto"/>
              <w:jc w:val="center"/>
              <w:rPr>
                <w:rFonts w:ascii="宋体"/>
                <w:szCs w:val="21"/>
              </w:rPr>
            </w:pPr>
            <w:r>
              <w:rPr>
                <w:rFonts w:ascii="宋体" w:hAnsi="宋体"/>
                <w:szCs w:val="21"/>
              </w:rPr>
              <w:t>15</w:t>
            </w:r>
          </w:p>
        </w:tc>
        <w:tc>
          <w:tcPr>
            <w:tcW w:w="725" w:type="dxa"/>
            <w:vAlign w:val="center"/>
          </w:tcPr>
          <w:p>
            <w:pPr>
              <w:spacing w:line="360" w:lineRule="auto"/>
              <w:jc w:val="center"/>
              <w:rPr>
                <w:rFonts w:ascii="宋体"/>
                <w:szCs w:val="21"/>
              </w:rPr>
            </w:pPr>
            <w:r>
              <w:rPr>
                <w:rFonts w:ascii="宋体"/>
                <w:szCs w:val="21"/>
              </w:rPr>
              <w:t>15</w:t>
            </w:r>
          </w:p>
        </w:tc>
        <w:tc>
          <w:tcPr>
            <w:tcW w:w="730" w:type="dxa"/>
            <w:vAlign w:val="center"/>
          </w:tcPr>
          <w:p>
            <w:pPr>
              <w:spacing w:line="360" w:lineRule="auto"/>
              <w:jc w:val="center"/>
              <w:rPr>
                <w:rFonts w:ascii="宋体"/>
                <w:szCs w:val="21"/>
              </w:rPr>
            </w:pPr>
            <w:r>
              <w:rPr>
                <w:rFonts w:ascii="宋体" w:hAnsi="宋体"/>
                <w:szCs w:val="21"/>
              </w:rPr>
              <w:t>8</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hAnsi="宋体"/>
                <w:szCs w:val="21"/>
              </w:rPr>
              <w:t>市级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hAnsi="宋体"/>
                <w:szCs w:val="21"/>
              </w:rPr>
              <w:t>30</w:t>
            </w:r>
          </w:p>
        </w:tc>
        <w:tc>
          <w:tcPr>
            <w:tcW w:w="763" w:type="dxa"/>
            <w:vAlign w:val="center"/>
          </w:tcPr>
          <w:p>
            <w:pPr>
              <w:spacing w:line="360" w:lineRule="auto"/>
              <w:jc w:val="center"/>
              <w:rPr>
                <w:rFonts w:ascii="宋体"/>
                <w:szCs w:val="21"/>
              </w:rPr>
            </w:pPr>
            <w:r>
              <w:rPr>
                <w:rFonts w:ascii="宋体" w:hAnsi="宋体"/>
                <w:szCs w:val="21"/>
              </w:rPr>
              <w:t>15</w:t>
            </w:r>
          </w:p>
        </w:tc>
        <w:tc>
          <w:tcPr>
            <w:tcW w:w="796" w:type="dxa"/>
            <w:vAlign w:val="center"/>
          </w:tcPr>
          <w:p>
            <w:pPr>
              <w:spacing w:line="360" w:lineRule="auto"/>
              <w:jc w:val="center"/>
              <w:rPr>
                <w:rFonts w:ascii="宋体"/>
                <w:szCs w:val="21"/>
              </w:rPr>
            </w:pPr>
            <w:r>
              <w:rPr>
                <w:rFonts w:ascii="宋体" w:hAnsi="宋体"/>
                <w:szCs w:val="21"/>
              </w:rPr>
              <w:t>15</w:t>
            </w:r>
          </w:p>
        </w:tc>
        <w:tc>
          <w:tcPr>
            <w:tcW w:w="725" w:type="dxa"/>
            <w:vAlign w:val="center"/>
          </w:tcPr>
          <w:p>
            <w:pPr>
              <w:spacing w:line="360" w:lineRule="auto"/>
              <w:jc w:val="center"/>
              <w:rPr>
                <w:rFonts w:ascii="宋体"/>
                <w:szCs w:val="21"/>
              </w:rPr>
            </w:pPr>
            <w:r>
              <w:rPr>
                <w:rFonts w:ascii="宋体" w:hAnsi="宋体"/>
                <w:szCs w:val="21"/>
              </w:rPr>
              <w:t>15</w:t>
            </w:r>
          </w:p>
        </w:tc>
        <w:tc>
          <w:tcPr>
            <w:tcW w:w="730" w:type="dxa"/>
            <w:vAlign w:val="center"/>
          </w:tcPr>
          <w:p>
            <w:pPr>
              <w:spacing w:line="360" w:lineRule="auto"/>
              <w:jc w:val="center"/>
              <w:rPr>
                <w:rFonts w:ascii="宋体"/>
                <w:szCs w:val="21"/>
              </w:rPr>
            </w:pPr>
            <w:r>
              <w:rPr>
                <w:rFonts w:ascii="宋体"/>
                <w:szCs w:val="21"/>
              </w:rPr>
              <w:t>8</w:t>
            </w:r>
          </w:p>
        </w:tc>
        <w:tc>
          <w:tcPr>
            <w:tcW w:w="730" w:type="dxa"/>
            <w:vMerge w:val="restart"/>
          </w:tcPr>
          <w:p>
            <w:pPr>
              <w:spacing w:line="360" w:lineRule="auto"/>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hAnsi="宋体"/>
                <w:szCs w:val="21"/>
              </w:rPr>
              <w:t>25</w:t>
            </w:r>
          </w:p>
        </w:tc>
        <w:tc>
          <w:tcPr>
            <w:tcW w:w="763" w:type="dxa"/>
            <w:vAlign w:val="center"/>
          </w:tcPr>
          <w:p>
            <w:pPr>
              <w:spacing w:line="360" w:lineRule="auto"/>
              <w:jc w:val="center"/>
              <w:rPr>
                <w:rFonts w:ascii="宋体"/>
                <w:szCs w:val="21"/>
              </w:rPr>
            </w:pPr>
            <w:r>
              <w:rPr>
                <w:rFonts w:ascii="宋体" w:hAnsi="宋体"/>
                <w:szCs w:val="21"/>
              </w:rPr>
              <w:t>10</w:t>
            </w:r>
          </w:p>
        </w:tc>
        <w:tc>
          <w:tcPr>
            <w:tcW w:w="796" w:type="dxa"/>
            <w:vAlign w:val="center"/>
          </w:tcPr>
          <w:p>
            <w:pPr>
              <w:spacing w:line="360" w:lineRule="auto"/>
              <w:jc w:val="center"/>
              <w:rPr>
                <w:rFonts w:ascii="宋体"/>
                <w:szCs w:val="21"/>
              </w:rPr>
            </w:pPr>
            <w:r>
              <w:rPr>
                <w:rFonts w:ascii="宋体" w:hAnsi="宋体"/>
                <w:szCs w:val="21"/>
              </w:rPr>
              <w:t>10</w:t>
            </w:r>
          </w:p>
        </w:tc>
        <w:tc>
          <w:tcPr>
            <w:tcW w:w="725" w:type="dxa"/>
            <w:vAlign w:val="center"/>
          </w:tcPr>
          <w:p>
            <w:pPr>
              <w:spacing w:line="360" w:lineRule="auto"/>
              <w:jc w:val="center"/>
              <w:rPr>
                <w:rFonts w:ascii="宋体"/>
                <w:szCs w:val="21"/>
              </w:rPr>
            </w:pPr>
            <w:r>
              <w:rPr>
                <w:rFonts w:ascii="宋体"/>
                <w:szCs w:val="21"/>
              </w:rPr>
              <w:t>10</w:t>
            </w:r>
          </w:p>
        </w:tc>
        <w:tc>
          <w:tcPr>
            <w:tcW w:w="730" w:type="dxa"/>
            <w:vAlign w:val="center"/>
          </w:tcPr>
          <w:p>
            <w:pPr>
              <w:spacing w:line="360" w:lineRule="auto"/>
              <w:jc w:val="center"/>
              <w:rPr>
                <w:rFonts w:ascii="宋体"/>
                <w:szCs w:val="21"/>
              </w:rPr>
            </w:pPr>
            <w:r>
              <w:rPr>
                <w:rFonts w:ascii="宋体"/>
                <w:szCs w:val="21"/>
              </w:rPr>
              <w:t>7</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hAnsi="宋体"/>
                <w:szCs w:val="21"/>
              </w:rPr>
              <w:t>20</w:t>
            </w:r>
          </w:p>
        </w:tc>
        <w:tc>
          <w:tcPr>
            <w:tcW w:w="763" w:type="dxa"/>
            <w:vAlign w:val="center"/>
          </w:tcPr>
          <w:p>
            <w:pPr>
              <w:spacing w:line="360" w:lineRule="auto"/>
              <w:jc w:val="center"/>
              <w:rPr>
                <w:rFonts w:ascii="宋体"/>
                <w:szCs w:val="21"/>
              </w:rPr>
            </w:pPr>
            <w:r>
              <w:rPr>
                <w:rFonts w:ascii="宋体" w:hAnsi="宋体"/>
                <w:szCs w:val="21"/>
              </w:rPr>
              <w:t>8</w:t>
            </w:r>
          </w:p>
        </w:tc>
        <w:tc>
          <w:tcPr>
            <w:tcW w:w="796" w:type="dxa"/>
            <w:vAlign w:val="center"/>
          </w:tcPr>
          <w:p>
            <w:pPr>
              <w:spacing w:line="360" w:lineRule="auto"/>
              <w:jc w:val="center"/>
              <w:rPr>
                <w:rFonts w:ascii="宋体"/>
                <w:szCs w:val="21"/>
              </w:rPr>
            </w:pPr>
            <w:r>
              <w:rPr>
                <w:rFonts w:ascii="宋体" w:hAnsi="宋体"/>
                <w:szCs w:val="21"/>
              </w:rPr>
              <w:t>8</w:t>
            </w:r>
          </w:p>
        </w:tc>
        <w:tc>
          <w:tcPr>
            <w:tcW w:w="725" w:type="dxa"/>
            <w:vAlign w:val="center"/>
          </w:tcPr>
          <w:p>
            <w:pPr>
              <w:spacing w:line="360" w:lineRule="auto"/>
              <w:jc w:val="center"/>
              <w:rPr>
                <w:rFonts w:ascii="宋体"/>
                <w:szCs w:val="21"/>
              </w:rPr>
            </w:pPr>
            <w:r>
              <w:rPr>
                <w:rFonts w:ascii="宋体"/>
                <w:szCs w:val="21"/>
              </w:rPr>
              <w:t>8</w:t>
            </w:r>
          </w:p>
        </w:tc>
        <w:tc>
          <w:tcPr>
            <w:tcW w:w="730" w:type="dxa"/>
            <w:vAlign w:val="center"/>
          </w:tcPr>
          <w:p>
            <w:pPr>
              <w:spacing w:line="360" w:lineRule="auto"/>
              <w:jc w:val="center"/>
              <w:rPr>
                <w:rFonts w:ascii="宋体"/>
                <w:szCs w:val="21"/>
              </w:rPr>
            </w:pPr>
            <w:r>
              <w:rPr>
                <w:rFonts w:ascii="宋体"/>
                <w:szCs w:val="21"/>
              </w:rPr>
              <w:t>5</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hAnsi="宋体"/>
                <w:szCs w:val="21"/>
              </w:rPr>
              <w:t>校级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szCs w:val="21"/>
              </w:rPr>
              <w:t>20</w:t>
            </w:r>
          </w:p>
        </w:tc>
        <w:tc>
          <w:tcPr>
            <w:tcW w:w="763" w:type="dxa"/>
            <w:vAlign w:val="center"/>
          </w:tcPr>
          <w:p>
            <w:pPr>
              <w:spacing w:line="360" w:lineRule="auto"/>
              <w:jc w:val="center"/>
              <w:rPr>
                <w:rFonts w:ascii="宋体"/>
                <w:szCs w:val="21"/>
              </w:rPr>
            </w:pPr>
            <w:r>
              <w:rPr>
                <w:rFonts w:ascii="宋体" w:hAnsi="宋体"/>
                <w:szCs w:val="21"/>
              </w:rPr>
              <w:t>8</w:t>
            </w:r>
          </w:p>
        </w:tc>
        <w:tc>
          <w:tcPr>
            <w:tcW w:w="796" w:type="dxa"/>
            <w:vAlign w:val="center"/>
          </w:tcPr>
          <w:p>
            <w:pPr>
              <w:spacing w:line="360" w:lineRule="auto"/>
              <w:jc w:val="center"/>
              <w:rPr>
                <w:rFonts w:ascii="宋体"/>
                <w:szCs w:val="21"/>
              </w:rPr>
            </w:pPr>
            <w:r>
              <w:rPr>
                <w:rFonts w:ascii="宋体" w:hAnsi="宋体"/>
                <w:szCs w:val="21"/>
              </w:rPr>
              <w:t>8</w:t>
            </w:r>
          </w:p>
        </w:tc>
        <w:tc>
          <w:tcPr>
            <w:tcW w:w="725" w:type="dxa"/>
            <w:vAlign w:val="center"/>
          </w:tcPr>
          <w:p>
            <w:pPr>
              <w:spacing w:line="360" w:lineRule="auto"/>
              <w:jc w:val="center"/>
              <w:rPr>
                <w:rFonts w:ascii="宋体" w:hAnsi="宋体"/>
                <w:szCs w:val="21"/>
              </w:rPr>
            </w:pPr>
            <w:r>
              <w:rPr>
                <w:rFonts w:ascii="宋体" w:hAnsi="宋体"/>
                <w:szCs w:val="21"/>
              </w:rPr>
              <w:t>8</w:t>
            </w:r>
          </w:p>
        </w:tc>
        <w:tc>
          <w:tcPr>
            <w:tcW w:w="730" w:type="dxa"/>
            <w:vAlign w:val="center"/>
          </w:tcPr>
          <w:p>
            <w:pPr>
              <w:spacing w:line="360" w:lineRule="auto"/>
              <w:jc w:val="center"/>
              <w:rPr>
                <w:rFonts w:ascii="宋体" w:hAnsi="宋体"/>
                <w:szCs w:val="21"/>
              </w:rPr>
            </w:pPr>
            <w:r>
              <w:rPr>
                <w:rFonts w:ascii="宋体" w:hAnsi="宋体"/>
                <w:szCs w:val="21"/>
              </w:rPr>
              <w:t>5</w:t>
            </w:r>
          </w:p>
        </w:tc>
        <w:tc>
          <w:tcPr>
            <w:tcW w:w="730" w:type="dxa"/>
            <w:vMerge w:val="restart"/>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szCs w:val="21"/>
              </w:rPr>
              <w:t>15</w:t>
            </w:r>
          </w:p>
        </w:tc>
        <w:tc>
          <w:tcPr>
            <w:tcW w:w="763" w:type="dxa"/>
            <w:vAlign w:val="center"/>
          </w:tcPr>
          <w:p>
            <w:pPr>
              <w:spacing w:line="360" w:lineRule="auto"/>
              <w:jc w:val="center"/>
              <w:rPr>
                <w:rFonts w:ascii="宋体"/>
                <w:szCs w:val="21"/>
              </w:rPr>
            </w:pPr>
            <w:r>
              <w:rPr>
                <w:rFonts w:ascii="宋体" w:hAnsi="宋体"/>
                <w:szCs w:val="21"/>
              </w:rPr>
              <w:t>7</w:t>
            </w:r>
          </w:p>
        </w:tc>
        <w:tc>
          <w:tcPr>
            <w:tcW w:w="796" w:type="dxa"/>
            <w:vAlign w:val="center"/>
          </w:tcPr>
          <w:p>
            <w:pPr>
              <w:spacing w:line="360" w:lineRule="auto"/>
              <w:jc w:val="center"/>
              <w:rPr>
                <w:rFonts w:ascii="宋体"/>
                <w:szCs w:val="21"/>
              </w:rPr>
            </w:pPr>
            <w:r>
              <w:rPr>
                <w:rFonts w:ascii="宋体" w:hAnsi="宋体"/>
                <w:szCs w:val="21"/>
              </w:rPr>
              <w:t>7</w:t>
            </w:r>
          </w:p>
        </w:tc>
        <w:tc>
          <w:tcPr>
            <w:tcW w:w="725" w:type="dxa"/>
            <w:vAlign w:val="center"/>
          </w:tcPr>
          <w:p>
            <w:pPr>
              <w:spacing w:line="360" w:lineRule="auto"/>
              <w:jc w:val="center"/>
              <w:rPr>
                <w:rFonts w:ascii="宋体"/>
                <w:szCs w:val="21"/>
              </w:rPr>
            </w:pPr>
            <w:r>
              <w:rPr>
                <w:rFonts w:ascii="宋体"/>
                <w:szCs w:val="21"/>
              </w:rPr>
              <w:t>7</w:t>
            </w:r>
          </w:p>
        </w:tc>
        <w:tc>
          <w:tcPr>
            <w:tcW w:w="730" w:type="dxa"/>
            <w:vAlign w:val="center"/>
          </w:tcPr>
          <w:p>
            <w:pPr>
              <w:spacing w:line="360" w:lineRule="auto"/>
              <w:jc w:val="center"/>
              <w:rPr>
                <w:rFonts w:ascii="宋体" w:hAnsi="宋体"/>
                <w:szCs w:val="21"/>
              </w:rPr>
            </w:pPr>
            <w:r>
              <w:rPr>
                <w:rFonts w:ascii="宋体" w:hAnsi="宋体"/>
                <w:szCs w:val="21"/>
              </w:rPr>
              <w:t>4</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szCs w:val="21"/>
              </w:rPr>
              <w:t>10</w:t>
            </w:r>
          </w:p>
        </w:tc>
        <w:tc>
          <w:tcPr>
            <w:tcW w:w="763" w:type="dxa"/>
            <w:vAlign w:val="center"/>
          </w:tcPr>
          <w:p>
            <w:pPr>
              <w:spacing w:line="360" w:lineRule="auto"/>
              <w:jc w:val="center"/>
              <w:rPr>
                <w:rFonts w:ascii="宋体"/>
                <w:szCs w:val="21"/>
              </w:rPr>
            </w:pPr>
            <w:r>
              <w:rPr>
                <w:rFonts w:ascii="宋体" w:hAnsi="宋体"/>
                <w:szCs w:val="21"/>
              </w:rPr>
              <w:t>5</w:t>
            </w:r>
          </w:p>
        </w:tc>
        <w:tc>
          <w:tcPr>
            <w:tcW w:w="796" w:type="dxa"/>
            <w:vAlign w:val="center"/>
          </w:tcPr>
          <w:p>
            <w:pPr>
              <w:spacing w:line="360" w:lineRule="auto"/>
              <w:jc w:val="center"/>
              <w:rPr>
                <w:rFonts w:ascii="宋体"/>
                <w:szCs w:val="21"/>
              </w:rPr>
            </w:pPr>
            <w:r>
              <w:rPr>
                <w:rFonts w:ascii="宋体" w:hAnsi="宋体"/>
                <w:szCs w:val="21"/>
              </w:rPr>
              <w:t>5</w:t>
            </w:r>
          </w:p>
        </w:tc>
        <w:tc>
          <w:tcPr>
            <w:tcW w:w="725" w:type="dxa"/>
            <w:vAlign w:val="center"/>
          </w:tcPr>
          <w:p>
            <w:pPr>
              <w:spacing w:line="360" w:lineRule="auto"/>
              <w:jc w:val="center"/>
              <w:rPr>
                <w:rFonts w:ascii="宋体"/>
                <w:szCs w:val="21"/>
              </w:rPr>
            </w:pPr>
            <w:r>
              <w:rPr>
                <w:rFonts w:ascii="宋体"/>
                <w:szCs w:val="21"/>
              </w:rPr>
              <w:t>5</w:t>
            </w:r>
          </w:p>
        </w:tc>
        <w:tc>
          <w:tcPr>
            <w:tcW w:w="730" w:type="dxa"/>
            <w:vAlign w:val="center"/>
          </w:tcPr>
          <w:p>
            <w:pPr>
              <w:spacing w:line="360" w:lineRule="auto"/>
              <w:jc w:val="center"/>
              <w:rPr>
                <w:rFonts w:ascii="宋体" w:hAnsi="宋体"/>
                <w:szCs w:val="21"/>
              </w:rPr>
            </w:pPr>
            <w:r>
              <w:rPr>
                <w:rFonts w:ascii="宋体" w:hAnsi="宋体"/>
                <w:szCs w:val="21"/>
              </w:rPr>
              <w:t>3</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szCs w:val="21"/>
              </w:rPr>
              <w:t>院级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hAnsi="宋体"/>
                <w:szCs w:val="21"/>
              </w:rPr>
              <w:t>10</w:t>
            </w:r>
          </w:p>
        </w:tc>
        <w:tc>
          <w:tcPr>
            <w:tcW w:w="763" w:type="dxa"/>
            <w:vAlign w:val="center"/>
          </w:tcPr>
          <w:p>
            <w:pPr>
              <w:spacing w:line="360" w:lineRule="auto"/>
              <w:jc w:val="center"/>
              <w:rPr>
                <w:rFonts w:ascii="宋体" w:hAnsi="宋体"/>
                <w:szCs w:val="21"/>
              </w:rPr>
            </w:pPr>
            <w:r>
              <w:rPr>
                <w:rFonts w:ascii="宋体" w:hAnsi="宋体"/>
                <w:szCs w:val="21"/>
              </w:rPr>
              <w:t>5</w:t>
            </w:r>
          </w:p>
        </w:tc>
        <w:tc>
          <w:tcPr>
            <w:tcW w:w="796" w:type="dxa"/>
            <w:vAlign w:val="center"/>
          </w:tcPr>
          <w:p>
            <w:pPr>
              <w:spacing w:line="360" w:lineRule="auto"/>
              <w:jc w:val="center"/>
              <w:rPr>
                <w:rFonts w:ascii="宋体" w:hAnsi="宋体"/>
                <w:szCs w:val="21"/>
              </w:rPr>
            </w:pPr>
            <w:r>
              <w:rPr>
                <w:rFonts w:ascii="宋体" w:hAnsi="宋体"/>
                <w:szCs w:val="21"/>
              </w:rPr>
              <w:t>5</w:t>
            </w:r>
          </w:p>
        </w:tc>
        <w:tc>
          <w:tcPr>
            <w:tcW w:w="725" w:type="dxa"/>
            <w:vAlign w:val="center"/>
          </w:tcPr>
          <w:p>
            <w:pPr>
              <w:spacing w:line="360" w:lineRule="auto"/>
              <w:jc w:val="center"/>
              <w:rPr>
                <w:rFonts w:ascii="宋体"/>
                <w:szCs w:val="21"/>
              </w:rPr>
            </w:pPr>
            <w:r>
              <w:rPr>
                <w:rFonts w:ascii="宋体" w:hAnsi="宋体"/>
                <w:szCs w:val="21"/>
              </w:rPr>
              <w:t>5</w:t>
            </w:r>
          </w:p>
        </w:tc>
        <w:tc>
          <w:tcPr>
            <w:tcW w:w="730" w:type="dxa"/>
            <w:vAlign w:val="center"/>
          </w:tcPr>
          <w:p>
            <w:pPr>
              <w:spacing w:line="360" w:lineRule="auto"/>
              <w:jc w:val="center"/>
              <w:rPr>
                <w:rFonts w:ascii="宋体"/>
                <w:szCs w:val="21"/>
              </w:rPr>
            </w:pPr>
            <w:r>
              <w:rPr>
                <w:rFonts w:ascii="宋体" w:hAnsi="宋体"/>
                <w:szCs w:val="21"/>
              </w:rPr>
              <w:t>3</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hAnsi="宋体"/>
                <w:szCs w:val="21"/>
              </w:rPr>
              <w:t>5</w:t>
            </w:r>
          </w:p>
        </w:tc>
        <w:tc>
          <w:tcPr>
            <w:tcW w:w="763" w:type="dxa"/>
            <w:vAlign w:val="center"/>
          </w:tcPr>
          <w:p>
            <w:pPr>
              <w:spacing w:line="360" w:lineRule="auto"/>
              <w:jc w:val="center"/>
              <w:rPr>
                <w:rFonts w:ascii="宋体" w:hAnsi="宋体"/>
                <w:szCs w:val="21"/>
              </w:rPr>
            </w:pPr>
            <w:r>
              <w:rPr>
                <w:rFonts w:ascii="宋体" w:hAnsi="宋体"/>
                <w:szCs w:val="21"/>
              </w:rPr>
              <w:t>4</w:t>
            </w:r>
          </w:p>
        </w:tc>
        <w:tc>
          <w:tcPr>
            <w:tcW w:w="796" w:type="dxa"/>
            <w:vAlign w:val="center"/>
          </w:tcPr>
          <w:p>
            <w:pPr>
              <w:spacing w:line="360" w:lineRule="auto"/>
              <w:jc w:val="center"/>
              <w:rPr>
                <w:rFonts w:ascii="宋体" w:hAnsi="宋体"/>
                <w:szCs w:val="21"/>
              </w:rPr>
            </w:pPr>
            <w:r>
              <w:rPr>
                <w:rFonts w:ascii="宋体" w:hAnsi="宋体"/>
                <w:szCs w:val="21"/>
              </w:rPr>
              <w:t>4</w:t>
            </w:r>
          </w:p>
        </w:tc>
        <w:tc>
          <w:tcPr>
            <w:tcW w:w="725" w:type="dxa"/>
            <w:vAlign w:val="center"/>
          </w:tcPr>
          <w:p>
            <w:pPr>
              <w:spacing w:line="360" w:lineRule="auto"/>
              <w:jc w:val="center"/>
              <w:rPr>
                <w:rFonts w:ascii="宋体"/>
                <w:szCs w:val="21"/>
              </w:rPr>
            </w:pPr>
            <w:r>
              <w:rPr>
                <w:rFonts w:ascii="宋体"/>
                <w:szCs w:val="21"/>
              </w:rPr>
              <w:t>4</w:t>
            </w:r>
          </w:p>
        </w:tc>
        <w:tc>
          <w:tcPr>
            <w:tcW w:w="730" w:type="dxa"/>
            <w:vAlign w:val="center"/>
          </w:tcPr>
          <w:p>
            <w:pPr>
              <w:spacing w:line="360" w:lineRule="auto"/>
              <w:jc w:val="center"/>
              <w:rPr>
                <w:rFonts w:ascii="宋体"/>
                <w:szCs w:val="21"/>
              </w:rPr>
            </w:pPr>
            <w:r>
              <w:rPr>
                <w:rFonts w:ascii="宋体" w:hAnsi="宋体"/>
                <w:szCs w:val="21"/>
              </w:rPr>
              <w:t>2</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hAnsi="宋体"/>
                <w:szCs w:val="21"/>
              </w:rPr>
              <w:t>3</w:t>
            </w:r>
          </w:p>
        </w:tc>
        <w:tc>
          <w:tcPr>
            <w:tcW w:w="763" w:type="dxa"/>
            <w:vAlign w:val="center"/>
          </w:tcPr>
          <w:p>
            <w:pPr>
              <w:spacing w:line="360" w:lineRule="auto"/>
              <w:jc w:val="center"/>
              <w:rPr>
                <w:rFonts w:ascii="宋体" w:hAnsi="宋体"/>
                <w:szCs w:val="21"/>
              </w:rPr>
            </w:pPr>
            <w:r>
              <w:rPr>
                <w:rFonts w:ascii="宋体" w:hAnsi="宋体"/>
                <w:szCs w:val="21"/>
              </w:rPr>
              <w:t>3</w:t>
            </w:r>
          </w:p>
        </w:tc>
        <w:tc>
          <w:tcPr>
            <w:tcW w:w="796" w:type="dxa"/>
            <w:vAlign w:val="center"/>
          </w:tcPr>
          <w:p>
            <w:pPr>
              <w:spacing w:line="360" w:lineRule="auto"/>
              <w:jc w:val="center"/>
              <w:rPr>
                <w:rFonts w:ascii="宋体" w:hAnsi="宋体"/>
                <w:szCs w:val="21"/>
              </w:rPr>
            </w:pPr>
            <w:r>
              <w:rPr>
                <w:rFonts w:ascii="宋体" w:hAnsi="宋体"/>
                <w:szCs w:val="21"/>
              </w:rPr>
              <w:t>3</w:t>
            </w:r>
          </w:p>
        </w:tc>
        <w:tc>
          <w:tcPr>
            <w:tcW w:w="725" w:type="dxa"/>
            <w:vAlign w:val="center"/>
          </w:tcPr>
          <w:p>
            <w:pPr>
              <w:spacing w:line="360" w:lineRule="auto"/>
              <w:jc w:val="center"/>
              <w:rPr>
                <w:rFonts w:ascii="宋体"/>
                <w:szCs w:val="21"/>
              </w:rPr>
            </w:pPr>
            <w:r>
              <w:rPr>
                <w:rFonts w:ascii="宋体"/>
                <w:szCs w:val="21"/>
              </w:rPr>
              <w:t>3</w:t>
            </w:r>
          </w:p>
        </w:tc>
        <w:tc>
          <w:tcPr>
            <w:tcW w:w="730" w:type="dxa"/>
            <w:vAlign w:val="center"/>
          </w:tcPr>
          <w:p>
            <w:pPr>
              <w:spacing w:line="360" w:lineRule="auto"/>
              <w:jc w:val="center"/>
              <w:rPr>
                <w:rFonts w:ascii="宋体"/>
                <w:szCs w:val="21"/>
              </w:rPr>
            </w:pPr>
            <w:r>
              <w:rPr>
                <w:rFonts w:ascii="宋体" w:hAnsi="宋体"/>
                <w:szCs w:val="21"/>
              </w:rPr>
              <w:t>1</w:t>
            </w:r>
          </w:p>
        </w:tc>
        <w:tc>
          <w:tcPr>
            <w:tcW w:w="730" w:type="dxa"/>
            <w:vMerge w:val="continue"/>
          </w:tcPr>
          <w:p>
            <w:pPr>
              <w:spacing w:line="360" w:lineRule="auto"/>
              <w:jc w:val="center"/>
              <w:rPr>
                <w:rFonts w:ascii="宋体"/>
                <w:szCs w:val="21"/>
              </w:rPr>
            </w:pPr>
          </w:p>
        </w:tc>
      </w:tr>
    </w:tbl>
    <w:p>
      <w:pPr>
        <w:widowControl/>
        <w:spacing w:line="360" w:lineRule="auto"/>
        <w:ind w:firstLine="480" w:firstLineChars="200"/>
        <w:jc w:val="left"/>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 1 \* GB3 </w:instrText>
      </w:r>
      <w:r>
        <w:rPr>
          <w:rFonts w:ascii="宋体" w:hAnsi="宋体"/>
          <w:sz w:val="24"/>
          <w:szCs w:val="24"/>
        </w:rPr>
        <w:fldChar w:fldCharType="end"/>
      </w:r>
      <w:r>
        <w:rPr>
          <w:rFonts w:hint="eastAsia" w:ascii="宋体" w:hAnsi="宋体"/>
          <w:sz w:val="24"/>
          <w:szCs w:val="24"/>
        </w:rPr>
        <w:t>各加分项目应有相关文件、证书、原件或部门证明予以证实，否则不予认可。未设奖励名次的奖项按同级别的最高等级计分。（</w:t>
      </w:r>
      <w:r>
        <w:rPr>
          <w:rFonts w:ascii="宋体" w:hAnsi="宋体"/>
          <w:sz w:val="24"/>
          <w:szCs w:val="24"/>
        </w:rPr>
        <w:t>2</w:t>
      </w:r>
      <w:r>
        <w:rPr>
          <w:rFonts w:hint="eastAsia" w:ascii="宋体" w:hAnsi="宋体"/>
          <w:sz w:val="24"/>
          <w:szCs w:val="24"/>
        </w:rPr>
        <w:t>）同一文体活动获不同等级奖以计最高分，不累加，若为不同项目，可累加。</w:t>
      </w:r>
      <w:r>
        <w:rPr>
          <w:rFonts w:hint="eastAsia" w:ascii="宋体"/>
          <w:sz w:val="24"/>
          <w:szCs w:val="24"/>
        </w:rPr>
        <w:t>（</w:t>
      </w:r>
      <w:r>
        <w:rPr>
          <w:rFonts w:ascii="宋体"/>
          <w:sz w:val="24"/>
          <w:szCs w:val="24"/>
        </w:rPr>
        <w:t>3</w:t>
      </w:r>
      <w:r>
        <w:rPr>
          <w:rFonts w:hint="eastAsia" w:ascii="宋体"/>
          <w:sz w:val="24"/>
          <w:szCs w:val="24"/>
        </w:rPr>
        <w:t>）</w:t>
      </w:r>
      <w:r>
        <w:rPr>
          <w:rFonts w:hint="eastAsia" w:ascii="宋体" w:hAnsi="宋体"/>
          <w:sz w:val="24"/>
          <w:szCs w:val="24"/>
        </w:rPr>
        <w:t>若为团体获奖，负责人×</w:t>
      </w:r>
      <w:r>
        <w:rPr>
          <w:rFonts w:ascii="宋体"/>
          <w:sz w:val="24"/>
          <w:szCs w:val="24"/>
        </w:rPr>
        <w:t>0.</w:t>
      </w:r>
      <w:r>
        <w:rPr>
          <w:rFonts w:ascii="宋体" w:hAnsi="宋体"/>
          <w:sz w:val="24"/>
          <w:szCs w:val="24"/>
        </w:rPr>
        <w:t>8</w:t>
      </w:r>
      <w:r>
        <w:rPr>
          <w:rFonts w:hint="eastAsia" w:ascii="宋体" w:hAnsi="宋体"/>
          <w:sz w:val="24"/>
          <w:szCs w:val="24"/>
        </w:rPr>
        <w:t>；其他成员×</w:t>
      </w:r>
      <w:r>
        <w:rPr>
          <w:rFonts w:ascii="宋体"/>
          <w:sz w:val="24"/>
          <w:szCs w:val="24"/>
        </w:rPr>
        <w:t>0.</w:t>
      </w:r>
      <w:r>
        <w:rPr>
          <w:rFonts w:ascii="宋体" w:hAnsi="宋体"/>
          <w:sz w:val="24"/>
          <w:szCs w:val="24"/>
        </w:rPr>
        <w:t>5</w:t>
      </w:r>
      <w:r>
        <w:rPr>
          <w:rFonts w:hint="eastAsia" w:ascii="宋体" w:hAnsi="宋体"/>
          <w:sz w:val="24"/>
          <w:szCs w:val="24"/>
        </w:rPr>
        <w:t>；不分先后的项目均×</w:t>
      </w:r>
      <w:r>
        <w:rPr>
          <w:rFonts w:ascii="宋体"/>
          <w:sz w:val="24"/>
          <w:szCs w:val="24"/>
        </w:rPr>
        <w:t>0.</w:t>
      </w:r>
      <w:r>
        <w:rPr>
          <w:rFonts w:ascii="宋体" w:hAnsi="宋体"/>
          <w:sz w:val="24"/>
          <w:szCs w:val="24"/>
        </w:rPr>
        <w:t>6</w:t>
      </w:r>
      <w:r>
        <w:rPr>
          <w:rFonts w:hint="eastAsia" w:ascii="宋体" w:hAnsi="宋体"/>
          <w:sz w:val="24"/>
          <w:szCs w:val="24"/>
        </w:rPr>
        <w:t>。（</w:t>
      </w:r>
      <w:r>
        <w:rPr>
          <w:rFonts w:ascii="宋体" w:hAnsi="宋体"/>
          <w:sz w:val="24"/>
          <w:szCs w:val="24"/>
        </w:rPr>
        <w:t>4</w:t>
      </w:r>
      <w:r>
        <w:rPr>
          <w:rFonts w:hint="eastAsia" w:ascii="宋体" w:hAnsi="宋体"/>
          <w:sz w:val="24"/>
          <w:szCs w:val="24"/>
        </w:rPr>
        <w:t>）学科竞赛指的是数学类、英语类、电子商务类等纳入浙江省教育厅</w:t>
      </w:r>
      <w:r>
        <w:rPr>
          <w:rFonts w:ascii="宋体" w:hAnsi="宋体"/>
          <w:sz w:val="24"/>
          <w:szCs w:val="24"/>
        </w:rPr>
        <w:t>A</w:t>
      </w:r>
      <w:r>
        <w:rPr>
          <w:rFonts w:hint="eastAsia" w:ascii="宋体" w:hAnsi="宋体"/>
          <w:sz w:val="24"/>
          <w:szCs w:val="24"/>
        </w:rPr>
        <w:t>类</w:t>
      </w:r>
      <w:r>
        <w:rPr>
          <w:rFonts w:ascii="宋体" w:hAnsi="宋体"/>
          <w:sz w:val="24"/>
          <w:szCs w:val="24"/>
        </w:rPr>
        <w:t>B</w:t>
      </w:r>
      <w:r>
        <w:rPr>
          <w:rFonts w:hint="eastAsia" w:ascii="宋体" w:hAnsi="宋体"/>
          <w:sz w:val="24"/>
          <w:szCs w:val="24"/>
        </w:rPr>
        <w:t>类竞赛的项目。</w:t>
      </w:r>
      <w:r>
        <w:rPr>
          <w:rFonts w:hint="eastAsia" w:ascii="宋体"/>
          <w:sz w:val="24"/>
          <w:szCs w:val="24"/>
        </w:rPr>
        <w:t>（</w:t>
      </w:r>
      <w:r>
        <w:rPr>
          <w:rFonts w:ascii="宋体"/>
          <w:sz w:val="24"/>
          <w:szCs w:val="24"/>
        </w:rPr>
        <w:t>5</w:t>
      </w:r>
      <w:r>
        <w:rPr>
          <w:rFonts w:hint="eastAsia" w:ascii="宋体"/>
          <w:sz w:val="24"/>
          <w:szCs w:val="24"/>
        </w:rPr>
        <w:t>）</w:t>
      </w:r>
      <w:r>
        <w:rPr>
          <w:rFonts w:hint="eastAsia" w:ascii="宋体" w:hAnsi="宋体"/>
          <w:sz w:val="24"/>
          <w:szCs w:val="24"/>
        </w:rPr>
        <w:t>社会调查报告、社会实践报告、关于学校建设性意见报告、散文和诗歌等，被相关部门采纳并提供证明者，每篇计</w:t>
      </w:r>
      <w:r>
        <w:rPr>
          <w:rFonts w:ascii="宋体" w:hAnsi="宋体"/>
          <w:sz w:val="24"/>
          <w:szCs w:val="24"/>
        </w:rPr>
        <w:t>3</w:t>
      </w:r>
      <w:r>
        <w:rPr>
          <w:rFonts w:hint="eastAsia" w:ascii="宋体" w:hAnsi="宋体"/>
          <w:sz w:val="24"/>
          <w:szCs w:val="24"/>
        </w:rPr>
        <w:t>分，本项计分实行代表作制，总数不超过</w:t>
      </w:r>
      <w:r>
        <w:rPr>
          <w:rFonts w:ascii="宋体" w:hAnsi="宋体"/>
          <w:sz w:val="24"/>
          <w:szCs w:val="24"/>
        </w:rPr>
        <w:t>4</w:t>
      </w:r>
      <w:r>
        <w:rPr>
          <w:rFonts w:hint="eastAsia" w:ascii="宋体" w:hAnsi="宋体"/>
          <w:sz w:val="24"/>
          <w:szCs w:val="24"/>
        </w:rPr>
        <w:t>篇；通讯、简讯等不计分。</w:t>
      </w:r>
      <w:r>
        <w:rPr>
          <w:rFonts w:hint="eastAsia" w:ascii="宋体"/>
          <w:sz w:val="24"/>
          <w:szCs w:val="24"/>
        </w:rPr>
        <w:t>（</w:t>
      </w:r>
      <w:r>
        <w:rPr>
          <w:rFonts w:ascii="宋体"/>
          <w:sz w:val="24"/>
          <w:szCs w:val="24"/>
        </w:rPr>
        <w:t>6</w:t>
      </w:r>
      <w:r>
        <w:rPr>
          <w:rFonts w:hint="eastAsia" w:ascii="宋体"/>
          <w:sz w:val="24"/>
          <w:szCs w:val="24"/>
        </w:rPr>
        <w:t>）</w:t>
      </w:r>
      <w:r>
        <w:rPr>
          <w:rFonts w:hint="eastAsia" w:ascii="宋体" w:hAnsi="宋体"/>
          <w:sz w:val="24"/>
          <w:szCs w:val="24"/>
        </w:rPr>
        <w:t>参加学术会议，在会上宣读本人论文时，分数×</w:t>
      </w:r>
      <w:r>
        <w:rPr>
          <w:rFonts w:ascii="宋体" w:hAnsi="宋体"/>
          <w:sz w:val="24"/>
          <w:szCs w:val="24"/>
        </w:rPr>
        <w:t>2</w:t>
      </w:r>
      <w:r>
        <w:rPr>
          <w:rFonts w:hint="eastAsia" w:ascii="宋体" w:hAnsi="宋体"/>
          <w:sz w:val="24"/>
          <w:szCs w:val="24"/>
        </w:rPr>
        <w:t>倍。参加学院青年学术沙龙，每次计</w:t>
      </w:r>
      <w:r>
        <w:rPr>
          <w:rFonts w:ascii="宋体" w:hAnsi="宋体"/>
          <w:sz w:val="24"/>
          <w:szCs w:val="24"/>
        </w:rPr>
        <w:t>1</w:t>
      </w:r>
      <w:r>
        <w:rPr>
          <w:rFonts w:hint="eastAsia" w:ascii="宋体" w:hAnsi="宋体"/>
          <w:sz w:val="24"/>
          <w:szCs w:val="24"/>
        </w:rPr>
        <w:t>分；参加学院研究生智汇论坛宣讲的，每次计</w:t>
      </w:r>
      <w:r>
        <w:rPr>
          <w:rFonts w:ascii="宋体" w:hAnsi="宋体"/>
          <w:sz w:val="24"/>
          <w:szCs w:val="24"/>
        </w:rPr>
        <w:t>3</w:t>
      </w:r>
      <w:r>
        <w:rPr>
          <w:rFonts w:hint="eastAsia" w:ascii="宋体" w:hAnsi="宋体"/>
          <w:sz w:val="24"/>
          <w:szCs w:val="24"/>
        </w:rPr>
        <w:t>分。</w:t>
      </w:r>
    </w:p>
    <w:p>
      <w:pPr>
        <w:widowControl/>
        <w:spacing w:line="360" w:lineRule="auto"/>
        <w:ind w:firstLine="562" w:firstLineChars="200"/>
        <w:jc w:val="left"/>
        <w:rPr>
          <w:rFonts w:ascii="宋体"/>
          <w:b/>
          <w:bCs/>
          <w:sz w:val="28"/>
          <w:szCs w:val="28"/>
        </w:rPr>
      </w:pPr>
      <w:r>
        <w:rPr>
          <w:rFonts w:hint="eastAsia" w:ascii="宋体" w:hAnsi="宋体"/>
          <w:b/>
          <w:bCs/>
          <w:sz w:val="28"/>
          <w:szCs w:val="28"/>
        </w:rPr>
        <w:t>四、荣誉表彰得分</w:t>
      </w:r>
    </w:p>
    <w:p>
      <w:pPr>
        <w:spacing w:line="360" w:lineRule="auto"/>
        <w:ind w:firstLine="560" w:firstLineChars="200"/>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在测评学年内研究生获得一定层次的校内外表彰，应予以加分，计分标准如下。</w:t>
      </w:r>
    </w:p>
    <w:tbl>
      <w:tblPr>
        <w:tblStyle w:val="8"/>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09"/>
        <w:gridCol w:w="1353"/>
        <w:gridCol w:w="180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9"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类别</w:t>
            </w:r>
          </w:p>
        </w:tc>
        <w:tc>
          <w:tcPr>
            <w:tcW w:w="1809"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国家级</w:t>
            </w:r>
          </w:p>
        </w:tc>
        <w:tc>
          <w:tcPr>
            <w:tcW w:w="1353"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省级</w:t>
            </w:r>
          </w:p>
        </w:tc>
        <w:tc>
          <w:tcPr>
            <w:tcW w:w="1805"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地市级、校级</w:t>
            </w:r>
          </w:p>
        </w:tc>
        <w:tc>
          <w:tcPr>
            <w:tcW w:w="1357"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09"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加分</w:t>
            </w:r>
          </w:p>
        </w:tc>
        <w:tc>
          <w:tcPr>
            <w:tcW w:w="1809" w:type="dxa"/>
            <w:vAlign w:val="center"/>
          </w:tcPr>
          <w:p>
            <w:pPr>
              <w:autoSpaceDE w:val="0"/>
              <w:autoSpaceDN w:val="0"/>
              <w:adjustRightInd w:val="0"/>
              <w:spacing w:line="360" w:lineRule="auto"/>
              <w:jc w:val="center"/>
              <w:rPr>
                <w:rFonts w:ascii="宋体" w:cs="仿宋_GB2312+FPEF"/>
                <w:kern w:val="0"/>
                <w:sz w:val="24"/>
              </w:rPr>
            </w:pPr>
            <w:r>
              <w:rPr>
                <w:rFonts w:ascii="宋体" w:hAnsi="宋体" w:cs="仿宋_GB2312+FPEF"/>
                <w:kern w:val="0"/>
                <w:sz w:val="24"/>
              </w:rPr>
              <w:t>60</w:t>
            </w:r>
          </w:p>
        </w:tc>
        <w:tc>
          <w:tcPr>
            <w:tcW w:w="1353" w:type="dxa"/>
            <w:vAlign w:val="center"/>
          </w:tcPr>
          <w:p>
            <w:pPr>
              <w:autoSpaceDE w:val="0"/>
              <w:autoSpaceDN w:val="0"/>
              <w:adjustRightInd w:val="0"/>
              <w:spacing w:line="360" w:lineRule="auto"/>
              <w:jc w:val="center"/>
              <w:rPr>
                <w:rFonts w:ascii="宋体" w:cs="仿宋_GB2312+FPEF"/>
                <w:kern w:val="0"/>
                <w:sz w:val="24"/>
              </w:rPr>
            </w:pPr>
            <w:r>
              <w:rPr>
                <w:rFonts w:ascii="宋体" w:hAnsi="宋体" w:cs="仿宋_GB2312+FPEF"/>
                <w:kern w:val="0"/>
                <w:sz w:val="24"/>
              </w:rPr>
              <w:t>40</w:t>
            </w:r>
          </w:p>
        </w:tc>
        <w:tc>
          <w:tcPr>
            <w:tcW w:w="1805" w:type="dxa"/>
            <w:vAlign w:val="center"/>
          </w:tcPr>
          <w:p>
            <w:pPr>
              <w:autoSpaceDE w:val="0"/>
              <w:autoSpaceDN w:val="0"/>
              <w:adjustRightInd w:val="0"/>
              <w:spacing w:line="360" w:lineRule="auto"/>
              <w:jc w:val="center"/>
              <w:rPr>
                <w:rFonts w:ascii="宋体" w:cs="仿宋_GB2312+FPEF"/>
                <w:kern w:val="0"/>
                <w:sz w:val="24"/>
              </w:rPr>
            </w:pPr>
            <w:r>
              <w:rPr>
                <w:rFonts w:ascii="宋体" w:hAnsi="宋体" w:cs="仿宋_GB2312+FPEF"/>
                <w:kern w:val="0"/>
                <w:sz w:val="24"/>
              </w:rPr>
              <w:t>20</w:t>
            </w:r>
          </w:p>
        </w:tc>
        <w:tc>
          <w:tcPr>
            <w:tcW w:w="1357" w:type="dxa"/>
            <w:vAlign w:val="center"/>
          </w:tcPr>
          <w:p>
            <w:pPr>
              <w:autoSpaceDE w:val="0"/>
              <w:autoSpaceDN w:val="0"/>
              <w:adjustRightInd w:val="0"/>
              <w:spacing w:line="360" w:lineRule="auto"/>
              <w:jc w:val="center"/>
              <w:rPr>
                <w:rFonts w:ascii="宋体" w:cs="仿宋_GB2312+FPEF"/>
                <w:kern w:val="0"/>
                <w:sz w:val="24"/>
              </w:rPr>
            </w:pPr>
            <w:r>
              <w:rPr>
                <w:rFonts w:ascii="宋体" w:hAnsi="宋体" w:cs="仿宋_GB2312+FPEF"/>
                <w:kern w:val="0"/>
                <w:sz w:val="24"/>
              </w:rPr>
              <w:t>10</w:t>
            </w:r>
          </w:p>
        </w:tc>
      </w:tr>
    </w:tbl>
    <w:p>
      <w:pPr>
        <w:autoSpaceDE w:val="0"/>
        <w:autoSpaceDN w:val="0"/>
        <w:adjustRightInd w:val="0"/>
        <w:spacing w:line="360" w:lineRule="auto"/>
        <w:ind w:firstLine="480" w:firstLineChars="200"/>
        <w:jc w:val="left"/>
        <w:rPr>
          <w:rFonts w:hint="default" w:ascii="宋体" w:hAnsi="宋体" w:eastAsia="宋体"/>
          <w:sz w:val="24"/>
          <w:szCs w:val="24"/>
          <w:lang w:val="en-US" w:eastAsia="zh-CN"/>
        </w:rPr>
      </w:pPr>
      <w:r>
        <w:rPr>
          <w:rFonts w:hint="eastAsia" w:ascii="宋体" w:hAnsi="宋体"/>
          <w:sz w:val="24"/>
          <w:szCs w:val="24"/>
        </w:rPr>
        <w:t>注：（</w:t>
      </w:r>
      <w:r>
        <w:rPr>
          <w:rFonts w:ascii="宋体" w:hAnsi="宋体"/>
          <w:sz w:val="24"/>
          <w:szCs w:val="24"/>
        </w:rPr>
        <w:t>1</w:t>
      </w:r>
      <w:r>
        <w:rPr>
          <w:rFonts w:hint="eastAsia" w:ascii="宋体" w:hAnsi="宋体"/>
          <w:sz w:val="24"/>
          <w:szCs w:val="24"/>
        </w:rPr>
        <w:t>）该类荣誉计分范围是参加各类文体竞赛、学术竞赛、知识竞赛之外获得的荣誉。如：先进党支部、优秀班集体、暑期社会实践先进集体等，同一集体因同一原因获不同“先进集体”称号，则计分取最高分，不累加。（</w:t>
      </w:r>
      <w:r>
        <w:rPr>
          <w:rFonts w:ascii="宋体" w:hAnsi="宋体"/>
          <w:sz w:val="24"/>
          <w:szCs w:val="24"/>
        </w:rPr>
        <w:t>2</w:t>
      </w:r>
      <w:r>
        <w:rPr>
          <w:rFonts w:hint="eastAsia" w:ascii="宋体" w:hAnsi="宋体"/>
          <w:sz w:val="24"/>
          <w:szCs w:val="24"/>
        </w:rPr>
        <w:t>）获奖性质为团队，负责人×</w:t>
      </w:r>
      <w:r>
        <w:rPr>
          <w:rFonts w:ascii="宋体"/>
          <w:sz w:val="24"/>
          <w:szCs w:val="24"/>
        </w:rPr>
        <w:t>0.</w:t>
      </w:r>
      <w:r>
        <w:rPr>
          <w:rFonts w:ascii="宋体" w:hAnsi="宋体"/>
          <w:sz w:val="24"/>
          <w:szCs w:val="24"/>
        </w:rPr>
        <w:t>8</w:t>
      </w:r>
      <w:r>
        <w:rPr>
          <w:rFonts w:hint="eastAsia" w:ascii="宋体" w:hAnsi="宋体"/>
          <w:sz w:val="24"/>
          <w:szCs w:val="24"/>
        </w:rPr>
        <w:t>；其他成员×</w:t>
      </w:r>
      <w:r>
        <w:rPr>
          <w:rFonts w:ascii="宋体"/>
          <w:sz w:val="24"/>
          <w:szCs w:val="24"/>
        </w:rPr>
        <w:t>0.</w:t>
      </w:r>
      <w:r>
        <w:rPr>
          <w:rFonts w:ascii="宋体" w:hAnsi="宋体"/>
          <w:sz w:val="24"/>
          <w:szCs w:val="24"/>
        </w:rPr>
        <w:t>5</w:t>
      </w:r>
      <w:r>
        <w:rPr>
          <w:rFonts w:hint="eastAsia" w:ascii="宋体" w:hAnsi="宋体"/>
          <w:sz w:val="24"/>
          <w:szCs w:val="24"/>
        </w:rPr>
        <w:t>；不分先后的项目均×</w:t>
      </w:r>
      <w:r>
        <w:rPr>
          <w:rFonts w:ascii="宋体"/>
          <w:sz w:val="24"/>
          <w:szCs w:val="24"/>
        </w:rPr>
        <w:t>0.</w:t>
      </w:r>
      <w:r>
        <w:rPr>
          <w:rFonts w:ascii="宋体" w:hAnsi="宋体"/>
          <w:sz w:val="24"/>
          <w:szCs w:val="24"/>
        </w:rPr>
        <w:t>6</w:t>
      </w:r>
      <w:r>
        <w:rPr>
          <w:rFonts w:hint="eastAsia" w:ascii="宋体" w:hAnsi="宋体"/>
          <w:sz w:val="24"/>
          <w:szCs w:val="24"/>
        </w:rPr>
        <w:t>。（</w:t>
      </w:r>
      <w:r>
        <w:rPr>
          <w:rFonts w:ascii="宋体" w:hAnsi="宋体"/>
          <w:sz w:val="24"/>
          <w:szCs w:val="24"/>
        </w:rPr>
        <w:t>3</w:t>
      </w:r>
      <w:r>
        <w:rPr>
          <w:rFonts w:hint="eastAsia" w:ascii="宋体" w:hAnsi="宋体"/>
          <w:sz w:val="24"/>
          <w:szCs w:val="24"/>
        </w:rPr>
        <w:t>）经学校推荐后未经再次评选或差额淘汰而获得的更高层次荣誉，按校级荣誉计分。（</w:t>
      </w:r>
      <w:r>
        <w:rPr>
          <w:rFonts w:ascii="宋体" w:hAnsi="宋体"/>
          <w:sz w:val="24"/>
          <w:szCs w:val="24"/>
        </w:rPr>
        <w:t>4</w:t>
      </w:r>
      <w:r>
        <w:rPr>
          <w:rFonts w:hint="eastAsia" w:ascii="宋体" w:hAnsi="宋体"/>
          <w:sz w:val="24"/>
          <w:szCs w:val="24"/>
        </w:rPr>
        <w:t>）测评学年内所在宿舍被评为校级文明宿舍的，成员加</w:t>
      </w:r>
      <w:r>
        <w:rPr>
          <w:rFonts w:ascii="宋体" w:hAnsi="宋体"/>
          <w:sz w:val="24"/>
          <w:szCs w:val="24"/>
        </w:rPr>
        <w:t>2</w:t>
      </w:r>
      <w:r>
        <w:rPr>
          <w:rFonts w:hint="eastAsia" w:ascii="宋体" w:hAnsi="宋体"/>
          <w:sz w:val="24"/>
          <w:szCs w:val="24"/>
        </w:rPr>
        <w:t>分，寝室长加</w:t>
      </w:r>
      <w:r>
        <w:rPr>
          <w:rFonts w:ascii="宋体" w:hAnsi="宋体"/>
          <w:sz w:val="24"/>
          <w:szCs w:val="24"/>
        </w:rPr>
        <w:t>3</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）院级通报表扬加</w:t>
      </w:r>
      <w:r>
        <w:rPr>
          <w:rFonts w:hint="eastAsia" w:ascii="宋体" w:hAnsi="宋体"/>
          <w:sz w:val="24"/>
          <w:szCs w:val="24"/>
          <w:lang w:val="en-US" w:eastAsia="zh-CN"/>
        </w:rPr>
        <w:t>2分，校级通报表扬加3分。</w:t>
      </w:r>
    </w:p>
    <w:p>
      <w:pPr>
        <w:widowControl/>
        <w:spacing w:line="360" w:lineRule="auto"/>
        <w:ind w:firstLine="562" w:firstLineChars="200"/>
        <w:jc w:val="left"/>
        <w:rPr>
          <w:rFonts w:hint="eastAsia" w:ascii="宋体" w:hAnsi="宋体"/>
          <w:b/>
          <w:bCs/>
          <w:sz w:val="28"/>
          <w:szCs w:val="28"/>
        </w:rPr>
      </w:pPr>
      <w:r>
        <w:rPr>
          <w:rFonts w:hint="eastAsia" w:ascii="宋体" w:hAnsi="宋体"/>
          <w:b/>
          <w:bCs/>
          <w:sz w:val="28"/>
          <w:szCs w:val="28"/>
        </w:rPr>
        <w:t>五</w:t>
      </w:r>
      <w:r>
        <w:rPr>
          <w:rFonts w:hint="eastAsia" w:ascii="宋体" w:hAnsi="宋体"/>
          <w:b/>
          <w:bCs/>
          <w:sz w:val="28"/>
          <w:szCs w:val="28"/>
          <w:lang w:val="en-US" w:eastAsia="zh-CN"/>
        </w:rPr>
        <w:t>、</w:t>
      </w:r>
      <w:r>
        <w:rPr>
          <w:rFonts w:hint="eastAsia" w:ascii="宋体" w:hAnsi="宋体"/>
          <w:b/>
          <w:bCs/>
          <w:sz w:val="28"/>
          <w:szCs w:val="28"/>
        </w:rPr>
        <w:t>国际交流计分标准</w:t>
      </w:r>
    </w:p>
    <w:p>
      <w:pPr>
        <w:pStyle w:val="7"/>
        <w:spacing w:before="0" w:beforeAutospacing="0" w:after="0" w:afterAutospacing="0" w:line="440" w:lineRule="exact"/>
        <w:ind w:firstLine="480" w:firstLineChars="200"/>
        <w:rPr>
          <w:rFonts w:hint="eastAsia" w:ascii="宋体" w:hAnsi="宋体"/>
          <w:sz w:val="24"/>
          <w:szCs w:val="24"/>
        </w:rPr>
      </w:pPr>
      <w:r>
        <w:rPr>
          <w:rFonts w:hint="eastAsia" w:ascii="宋体" w:hAnsi="宋体" w:eastAsia="宋体" w:cs="Times New Roman"/>
          <w:kern w:val="2"/>
          <w:sz w:val="24"/>
          <w:szCs w:val="24"/>
          <w:lang w:val="en-US" w:eastAsia="zh-CN" w:bidi="ar-SA"/>
        </w:rPr>
        <w:t>在测评学年内研究生参加境外学习交流单期连续超过90天，凭交流活动组织单位或部门开具的证明予以计分， 每期计30分，计分不累计。</w:t>
      </w:r>
    </w:p>
    <w:p>
      <w:pPr>
        <w:spacing w:line="360" w:lineRule="auto"/>
        <w:ind w:firstLine="562" w:firstLineChars="200"/>
        <w:rPr>
          <w:rFonts w:ascii="宋体"/>
          <w:sz w:val="28"/>
          <w:szCs w:val="28"/>
        </w:rPr>
      </w:pPr>
      <w:r>
        <w:rPr>
          <w:rFonts w:hint="eastAsia" w:ascii="宋体" w:hAnsi="宋体"/>
          <w:b/>
          <w:sz w:val="28"/>
          <w:szCs w:val="28"/>
        </w:rPr>
        <w:t>第八条</w:t>
      </w:r>
      <w:r>
        <w:rPr>
          <w:rFonts w:ascii="宋体" w:hAnsi="宋体"/>
          <w:b/>
          <w:sz w:val="28"/>
          <w:szCs w:val="28"/>
        </w:rPr>
        <w:t xml:space="preserve"> </w:t>
      </w:r>
      <w:r>
        <w:rPr>
          <w:rFonts w:hint="eastAsia" w:ascii="宋体" w:hAnsi="宋体" w:cs="宋体"/>
          <w:kern w:val="0"/>
          <w:sz w:val="28"/>
          <w:szCs w:val="28"/>
        </w:rPr>
        <w:t>创新模块分，不设权重。</w:t>
      </w:r>
    </w:p>
    <w:p>
      <w:pPr>
        <w:spacing w:line="360" w:lineRule="auto"/>
        <w:ind w:firstLine="562" w:firstLineChars="200"/>
        <w:rPr>
          <w:rFonts w:ascii="宋体"/>
          <w:b/>
          <w:bCs/>
          <w:sz w:val="28"/>
          <w:szCs w:val="28"/>
        </w:rPr>
      </w:pPr>
      <w:r>
        <w:rPr>
          <w:rFonts w:hint="eastAsia" w:ascii="宋体" w:hAnsi="宋体"/>
          <w:b/>
          <w:bCs/>
          <w:sz w:val="28"/>
          <w:szCs w:val="28"/>
        </w:rPr>
        <w:t>一、科研成果获奖计分标准</w:t>
      </w:r>
    </w:p>
    <w:tbl>
      <w:tblPr>
        <w:tblStyle w:val="8"/>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803"/>
        <w:gridCol w:w="1908"/>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Align w:val="center"/>
          </w:tcPr>
          <w:p>
            <w:pPr>
              <w:jc w:val="center"/>
              <w:rPr>
                <w:rFonts w:ascii="宋体"/>
                <w:szCs w:val="21"/>
              </w:rPr>
            </w:pPr>
          </w:p>
        </w:tc>
        <w:tc>
          <w:tcPr>
            <w:tcW w:w="1803" w:type="dxa"/>
            <w:vAlign w:val="center"/>
          </w:tcPr>
          <w:p>
            <w:pPr>
              <w:jc w:val="center"/>
              <w:rPr>
                <w:rFonts w:ascii="宋体"/>
                <w:szCs w:val="21"/>
              </w:rPr>
            </w:pPr>
            <w:r>
              <w:rPr>
                <w:rFonts w:hint="eastAsia" w:ascii="宋体" w:hAnsi="宋体"/>
                <w:szCs w:val="21"/>
              </w:rPr>
              <w:t>获奖等级</w:t>
            </w:r>
          </w:p>
        </w:tc>
        <w:tc>
          <w:tcPr>
            <w:tcW w:w="1908" w:type="dxa"/>
            <w:vAlign w:val="center"/>
          </w:tcPr>
          <w:p>
            <w:pPr>
              <w:jc w:val="center"/>
              <w:rPr>
                <w:rFonts w:ascii="宋体"/>
                <w:szCs w:val="21"/>
              </w:rPr>
            </w:pPr>
            <w:r>
              <w:rPr>
                <w:rFonts w:hint="eastAsia" w:ascii="宋体" w:hAnsi="宋体"/>
                <w:szCs w:val="21"/>
              </w:rPr>
              <w:t>作者排名顺序</w:t>
            </w:r>
          </w:p>
        </w:tc>
        <w:tc>
          <w:tcPr>
            <w:tcW w:w="2212" w:type="dxa"/>
            <w:vAlign w:val="center"/>
          </w:tcPr>
          <w:p>
            <w:pPr>
              <w:jc w:val="center"/>
              <w:rPr>
                <w:rFonts w:ascii="宋体"/>
                <w:szCs w:val="21"/>
              </w:rPr>
            </w:pPr>
            <w:r>
              <w:rPr>
                <w:rFonts w:hint="eastAsia" w:ascii="宋体" w:hAnsi="宋体"/>
                <w:szCs w:val="21"/>
              </w:rPr>
              <w:t>作者得分</w:t>
            </w:r>
          </w:p>
          <w:p>
            <w:pPr>
              <w:jc w:val="center"/>
              <w:rPr>
                <w:rFonts w:ascii="宋体"/>
                <w:szCs w:val="21"/>
              </w:rPr>
            </w:pPr>
            <w:r>
              <w:rPr>
                <w:rFonts w:hint="eastAsia" w:ascii="宋体" w:hAnsi="宋体"/>
                <w:szCs w:val="21"/>
              </w:rPr>
              <w:t>（分</w:t>
            </w:r>
            <w:r>
              <w:rPr>
                <w:rFonts w:ascii="宋体" w:hAnsi="宋体"/>
                <w:szCs w:val="21"/>
              </w:rPr>
              <w:t>/</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restart"/>
            <w:vAlign w:val="center"/>
          </w:tcPr>
          <w:p>
            <w:pPr>
              <w:jc w:val="center"/>
              <w:rPr>
                <w:rFonts w:ascii="宋体"/>
                <w:szCs w:val="21"/>
              </w:rPr>
            </w:pPr>
            <w:r>
              <w:rPr>
                <w:rFonts w:hint="eastAsia" w:ascii="宋体" w:hAnsi="宋体"/>
                <w:szCs w:val="21"/>
              </w:rPr>
              <w:t>国家级</w:t>
            </w:r>
          </w:p>
          <w:p>
            <w:pPr>
              <w:jc w:val="center"/>
              <w:rPr>
                <w:rFonts w:ascii="宋体"/>
                <w:szCs w:val="21"/>
              </w:rPr>
            </w:pPr>
            <w:r>
              <w:rPr>
                <w:rFonts w:hint="eastAsia" w:ascii="宋体" w:hAnsi="宋体"/>
                <w:szCs w:val="21"/>
              </w:rPr>
              <w:t>科研成果</w:t>
            </w:r>
          </w:p>
        </w:tc>
        <w:tc>
          <w:tcPr>
            <w:tcW w:w="1803" w:type="dxa"/>
            <w:vMerge w:val="restart"/>
            <w:vAlign w:val="center"/>
          </w:tcPr>
          <w:p>
            <w:pPr>
              <w:jc w:val="center"/>
              <w:rPr>
                <w:rFonts w:ascii="宋体"/>
                <w:szCs w:val="21"/>
              </w:rPr>
            </w:pPr>
            <w:r>
              <w:rPr>
                <w:rFonts w:hint="eastAsia" w:ascii="宋体" w:hAnsi="宋体"/>
                <w:szCs w:val="21"/>
              </w:rPr>
              <w:t>一</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二</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三</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restart"/>
            <w:vAlign w:val="center"/>
          </w:tcPr>
          <w:p>
            <w:pPr>
              <w:jc w:val="center"/>
              <w:rPr>
                <w:rFonts w:ascii="宋体"/>
                <w:szCs w:val="21"/>
              </w:rPr>
            </w:pPr>
            <w:r>
              <w:rPr>
                <w:rFonts w:hint="eastAsia" w:ascii="宋体" w:hAnsi="宋体"/>
                <w:szCs w:val="21"/>
              </w:rPr>
              <w:t>省（部）级</w:t>
            </w:r>
          </w:p>
          <w:p>
            <w:pPr>
              <w:jc w:val="center"/>
              <w:rPr>
                <w:rFonts w:ascii="宋体"/>
                <w:szCs w:val="21"/>
              </w:rPr>
            </w:pPr>
            <w:r>
              <w:rPr>
                <w:rFonts w:hint="eastAsia" w:ascii="宋体" w:hAnsi="宋体"/>
                <w:szCs w:val="21"/>
              </w:rPr>
              <w:t>科研成果</w:t>
            </w:r>
          </w:p>
        </w:tc>
        <w:tc>
          <w:tcPr>
            <w:tcW w:w="1803" w:type="dxa"/>
            <w:vMerge w:val="restart"/>
            <w:vAlign w:val="center"/>
          </w:tcPr>
          <w:p>
            <w:pPr>
              <w:jc w:val="center"/>
              <w:rPr>
                <w:rFonts w:ascii="宋体"/>
                <w:szCs w:val="21"/>
              </w:rPr>
            </w:pPr>
            <w:r>
              <w:rPr>
                <w:rFonts w:hint="eastAsia" w:ascii="宋体" w:hAnsi="宋体"/>
                <w:szCs w:val="21"/>
              </w:rPr>
              <w:t>一</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二</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三</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restart"/>
            <w:vAlign w:val="center"/>
          </w:tcPr>
          <w:p>
            <w:pPr>
              <w:jc w:val="center"/>
              <w:rPr>
                <w:rFonts w:ascii="宋体"/>
                <w:szCs w:val="21"/>
              </w:rPr>
            </w:pPr>
            <w:r>
              <w:rPr>
                <w:rFonts w:hint="eastAsia" w:ascii="宋体" w:hAnsi="宋体"/>
                <w:szCs w:val="21"/>
              </w:rPr>
              <w:t>校（市）级</w:t>
            </w:r>
          </w:p>
          <w:p>
            <w:pPr>
              <w:jc w:val="center"/>
              <w:rPr>
                <w:rFonts w:ascii="宋体"/>
                <w:szCs w:val="21"/>
              </w:rPr>
            </w:pPr>
            <w:r>
              <w:rPr>
                <w:rFonts w:hint="eastAsia" w:ascii="宋体" w:hAnsi="宋体"/>
                <w:szCs w:val="21"/>
              </w:rPr>
              <w:t>科研成果</w:t>
            </w:r>
          </w:p>
        </w:tc>
        <w:tc>
          <w:tcPr>
            <w:tcW w:w="1803" w:type="dxa"/>
            <w:vMerge w:val="restart"/>
            <w:vAlign w:val="center"/>
          </w:tcPr>
          <w:p>
            <w:pPr>
              <w:jc w:val="center"/>
              <w:rPr>
                <w:rFonts w:ascii="宋体"/>
                <w:szCs w:val="21"/>
              </w:rPr>
            </w:pPr>
            <w:r>
              <w:rPr>
                <w:rFonts w:hint="eastAsia" w:ascii="宋体" w:hAnsi="宋体"/>
                <w:szCs w:val="21"/>
              </w:rPr>
              <w:t>一</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二</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三</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restart"/>
            <w:vAlign w:val="center"/>
          </w:tcPr>
          <w:p>
            <w:pPr>
              <w:jc w:val="center"/>
              <w:rPr>
                <w:rFonts w:ascii="宋体"/>
                <w:szCs w:val="21"/>
              </w:rPr>
            </w:pPr>
            <w:r>
              <w:rPr>
                <w:rFonts w:hint="eastAsia" w:ascii="宋体" w:hAnsi="宋体"/>
                <w:szCs w:val="21"/>
              </w:rPr>
              <w:t>专利加分</w:t>
            </w:r>
          </w:p>
        </w:tc>
        <w:tc>
          <w:tcPr>
            <w:tcW w:w="1803" w:type="dxa"/>
            <w:vMerge w:val="restart"/>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3</w:t>
            </w:r>
          </w:p>
        </w:tc>
      </w:tr>
    </w:tbl>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）同一科研成果、内容、项目获不同级别、不同类型的奖励，以最高分计，不累加。（</w:t>
      </w:r>
      <w:r>
        <w:rPr>
          <w:rFonts w:ascii="宋体" w:hAnsi="宋体"/>
          <w:sz w:val="24"/>
          <w:szCs w:val="24"/>
        </w:rPr>
        <w:t>2</w:t>
      </w:r>
      <w:r>
        <w:rPr>
          <w:rFonts w:hint="eastAsia" w:ascii="宋体" w:hAnsi="宋体"/>
          <w:sz w:val="24"/>
          <w:szCs w:val="24"/>
        </w:rPr>
        <w:t>）若该科研成果只有一位作者，则享受该成果全部得分。（</w:t>
      </w:r>
      <w:r>
        <w:rPr>
          <w:rFonts w:ascii="宋体" w:hAnsi="宋体"/>
          <w:sz w:val="24"/>
          <w:szCs w:val="24"/>
        </w:rPr>
        <w:t>3</w:t>
      </w:r>
      <w:r>
        <w:rPr>
          <w:rFonts w:hint="eastAsia" w:ascii="宋体" w:hAnsi="宋体"/>
          <w:sz w:val="24"/>
          <w:szCs w:val="24"/>
        </w:rPr>
        <w:t>）若科研成果是合作项目，研究生为第二作者，其导师为第一作者，视研究生为第一作者；如与其他教师合作，该研究生获得其相应排名得分。（</w:t>
      </w:r>
      <w:r>
        <w:rPr>
          <w:rFonts w:ascii="宋体" w:hAnsi="宋体"/>
          <w:sz w:val="24"/>
          <w:szCs w:val="24"/>
        </w:rPr>
        <w:t>4</w:t>
      </w:r>
      <w:r>
        <w:rPr>
          <w:rFonts w:hint="eastAsia" w:ascii="宋体" w:hAnsi="宋体"/>
          <w:sz w:val="24"/>
          <w:szCs w:val="24"/>
        </w:rPr>
        <w:t>）获国家发明专利成果应有专利证书，若该专利获得其他科研奖励者，以最高分计，不累加。（</w:t>
      </w:r>
      <w:r>
        <w:rPr>
          <w:rFonts w:ascii="宋体" w:hAnsi="宋体"/>
          <w:sz w:val="24"/>
          <w:szCs w:val="24"/>
        </w:rPr>
        <w:t>5</w:t>
      </w:r>
      <w:r>
        <w:rPr>
          <w:rFonts w:hint="eastAsia" w:ascii="宋体" w:hAnsi="宋体"/>
          <w:sz w:val="24"/>
          <w:szCs w:val="24"/>
        </w:rPr>
        <w:t>）科研成果排名第六及以后作者不加分。</w:t>
      </w:r>
    </w:p>
    <w:p>
      <w:pPr>
        <w:numPr>
          <w:ilvl w:val="0"/>
          <w:numId w:val="2"/>
        </w:numPr>
        <w:spacing w:line="360" w:lineRule="auto"/>
        <w:ind w:firstLine="562" w:firstLineChars="200"/>
        <w:rPr>
          <w:rFonts w:ascii="宋体"/>
          <w:b/>
          <w:bCs/>
          <w:sz w:val="28"/>
          <w:szCs w:val="28"/>
        </w:rPr>
      </w:pPr>
      <w:r>
        <w:rPr>
          <w:rFonts w:hint="eastAsia" w:ascii="宋体" w:hAnsi="宋体"/>
          <w:b/>
          <w:bCs/>
          <w:sz w:val="28"/>
          <w:szCs w:val="28"/>
        </w:rPr>
        <w:t>科学论文及著作计分标准</w:t>
      </w:r>
    </w:p>
    <w:tbl>
      <w:tblPr>
        <w:tblStyle w:val="8"/>
        <w:tblpPr w:leftFromText="180" w:rightFromText="180" w:vertAnchor="text" w:horzAnchor="page" w:tblpX="1933" w:tblpY="190"/>
        <w:tblOverlap w:val="never"/>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5003"/>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6154" w:type="dxa"/>
            <w:gridSpan w:val="2"/>
            <w:vAlign w:val="center"/>
          </w:tcPr>
          <w:p>
            <w:pPr>
              <w:jc w:val="center"/>
              <w:rPr>
                <w:rFonts w:ascii="宋体"/>
                <w:szCs w:val="21"/>
              </w:rPr>
            </w:pPr>
            <w:r>
              <w:rPr>
                <w:rFonts w:hint="eastAsia" w:ascii="宋体" w:hAnsi="宋体"/>
                <w:szCs w:val="21"/>
              </w:rPr>
              <w:t>项目</w:t>
            </w:r>
          </w:p>
        </w:tc>
        <w:tc>
          <w:tcPr>
            <w:tcW w:w="2054" w:type="dxa"/>
            <w:vAlign w:val="center"/>
          </w:tcPr>
          <w:p>
            <w:pPr>
              <w:jc w:val="center"/>
              <w:rPr>
                <w:rFonts w:ascii="宋体"/>
                <w:szCs w:val="21"/>
              </w:rPr>
            </w:pPr>
            <w:r>
              <w:rPr>
                <w:rFonts w:hint="eastAsia" w:ascii="宋体" w:hAnsi="宋体"/>
                <w:szCs w:val="21"/>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restart"/>
            <w:vAlign w:val="center"/>
          </w:tcPr>
          <w:p>
            <w:pPr>
              <w:widowControl/>
              <w:jc w:val="center"/>
              <w:rPr>
                <w:rFonts w:ascii="宋体"/>
                <w:szCs w:val="21"/>
              </w:rPr>
            </w:pPr>
            <w:r>
              <w:rPr>
                <w:rFonts w:hint="eastAsia" w:ascii="宋体" w:hAnsi="宋体"/>
                <w:szCs w:val="21"/>
              </w:rPr>
              <w:t>科研论文类计分</w:t>
            </w:r>
          </w:p>
        </w:tc>
        <w:tc>
          <w:tcPr>
            <w:tcW w:w="5003" w:type="dxa"/>
            <w:vAlign w:val="center"/>
          </w:tcPr>
          <w:p>
            <w:pPr>
              <w:spacing w:line="300" w:lineRule="auto"/>
              <w:jc w:val="center"/>
              <w:rPr>
                <w:rFonts w:hint="eastAsia"/>
              </w:rPr>
            </w:pPr>
            <w:r>
              <w:rPr>
                <w:rFonts w:hint="eastAsia"/>
                <w:lang w:val="en-US" w:eastAsia="zh-CN"/>
              </w:rPr>
              <w:t>《SCIENCE》、《NATURE》、《CELL》</w:t>
            </w:r>
          </w:p>
        </w:tc>
        <w:tc>
          <w:tcPr>
            <w:tcW w:w="2054" w:type="dxa"/>
            <w:vAlign w:val="center"/>
          </w:tcPr>
          <w:p>
            <w:pPr>
              <w:spacing w:line="300" w:lineRule="auto"/>
              <w:jc w:val="center"/>
              <w:rPr>
                <w:rFonts w:hint="default"/>
                <w:lang w:val="en-US" w:eastAsia="zh-CN"/>
              </w:rPr>
            </w:pPr>
            <w:r>
              <w:rPr>
                <w:rFonts w:hint="eastAsia"/>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lang w:val="en-US" w:eastAsia="zh-CN"/>
              </w:rPr>
              <w:t>ESI热点/高被引论文（前1%）</w:t>
            </w:r>
          </w:p>
        </w:tc>
        <w:tc>
          <w:tcPr>
            <w:tcW w:w="2054" w:type="dxa"/>
            <w:vAlign w:val="center"/>
          </w:tcPr>
          <w:p>
            <w:pPr>
              <w:spacing w:line="300" w:lineRule="auto"/>
              <w:jc w:val="center"/>
              <w:rPr>
                <w:rFonts w:hint="default"/>
                <w:lang w:val="en-US" w:eastAsia="zh-CN"/>
              </w:rPr>
            </w:pPr>
            <w:r>
              <w:rPr>
                <w:rFonts w:hint="eastAsia"/>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lang w:val="en-US" w:eastAsia="zh-CN"/>
              </w:rPr>
              <w:t>中国社会科学（中文版）</w:t>
            </w:r>
          </w:p>
        </w:tc>
        <w:tc>
          <w:tcPr>
            <w:tcW w:w="2054" w:type="dxa"/>
            <w:vAlign w:val="center"/>
          </w:tcPr>
          <w:p>
            <w:pPr>
              <w:spacing w:line="300" w:lineRule="auto"/>
              <w:jc w:val="center"/>
              <w:rPr>
                <w:rFonts w:hint="default"/>
                <w:lang w:val="en-US" w:eastAsia="zh-CN"/>
              </w:rPr>
            </w:pPr>
            <w:r>
              <w:rPr>
                <w:rFonts w:hint="eastAsia"/>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lang w:val="en-US" w:eastAsia="zh-CN"/>
              </w:rPr>
            </w:pPr>
            <w:r>
              <w:rPr>
                <w:rFonts w:hint="eastAsia"/>
                <w:lang w:val="en-US" w:eastAsia="zh-CN"/>
              </w:rPr>
              <w:t>特级</w:t>
            </w:r>
          </w:p>
        </w:tc>
        <w:tc>
          <w:tcPr>
            <w:tcW w:w="2054" w:type="dxa"/>
            <w:vAlign w:val="center"/>
          </w:tcPr>
          <w:p>
            <w:pPr>
              <w:spacing w:line="300" w:lineRule="auto"/>
              <w:jc w:val="center"/>
              <w:rPr>
                <w:rFonts w:hint="default"/>
                <w:lang w:val="en-US" w:eastAsia="zh-CN"/>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lang w:eastAsia="zh-CN"/>
              </w:rPr>
            </w:pPr>
            <w:r>
              <w:rPr>
                <w:rFonts w:hint="eastAsia"/>
                <w:lang w:val="en-US" w:eastAsia="zh-CN"/>
              </w:rPr>
              <w:t>SCI一区</w:t>
            </w:r>
          </w:p>
        </w:tc>
        <w:tc>
          <w:tcPr>
            <w:tcW w:w="2054" w:type="dxa"/>
            <w:vAlign w:val="center"/>
          </w:tcPr>
          <w:p>
            <w:pPr>
              <w:spacing w:line="300" w:lineRule="auto"/>
              <w:jc w:val="center"/>
              <w:rPr>
                <w:rFonts w:hint="default"/>
                <w:lang w:val="en-US" w:eastAsia="zh-CN"/>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lang w:val="en-US" w:eastAsia="zh-CN"/>
              </w:rPr>
              <w:t>SCI二区</w:t>
            </w:r>
          </w:p>
        </w:tc>
        <w:tc>
          <w:tcPr>
            <w:tcW w:w="2054" w:type="dxa"/>
            <w:vAlign w:val="center"/>
          </w:tcPr>
          <w:p>
            <w:pPr>
              <w:spacing w:line="300" w:lineRule="auto"/>
              <w:jc w:val="center"/>
              <w:rPr>
                <w:rFonts w:hint="default"/>
                <w:lang w:val="en-US" w:eastAsia="zh-CN"/>
              </w:rPr>
            </w:pP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lang w:val="en-US" w:eastAsia="zh-CN"/>
              </w:rPr>
              <w:t>SCI三区</w:t>
            </w:r>
          </w:p>
        </w:tc>
        <w:tc>
          <w:tcPr>
            <w:tcW w:w="2054" w:type="dxa"/>
            <w:vAlign w:val="center"/>
          </w:tcPr>
          <w:p>
            <w:pPr>
              <w:spacing w:line="300" w:lineRule="auto"/>
              <w:jc w:val="center"/>
              <w:rPr>
                <w:rFonts w:hint="default"/>
                <w:lang w:val="en-US" w:eastAsia="zh-CN"/>
              </w:rPr>
            </w:pPr>
            <w:r>
              <w:rPr>
                <w:rFonts w:hint="eastAsia"/>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lang w:val="en-US" w:eastAsia="zh-CN"/>
              </w:rPr>
              <w:t>SCI四区</w:t>
            </w:r>
          </w:p>
        </w:tc>
        <w:tc>
          <w:tcPr>
            <w:tcW w:w="2054" w:type="dxa"/>
            <w:vAlign w:val="center"/>
          </w:tcPr>
          <w:p>
            <w:pPr>
              <w:spacing w:line="300" w:lineRule="auto"/>
              <w:jc w:val="center"/>
              <w:rPr>
                <w:rFonts w:hint="default"/>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lang w:eastAsia="zh-CN"/>
              </w:rPr>
            </w:pPr>
            <w:r>
              <w:rPr>
                <w:rFonts w:hint="eastAsia"/>
                <w:lang w:val="en-US" w:eastAsia="zh-CN"/>
              </w:rPr>
              <w:t>SSCI一区</w:t>
            </w:r>
          </w:p>
        </w:tc>
        <w:tc>
          <w:tcPr>
            <w:tcW w:w="2054" w:type="dxa"/>
            <w:vAlign w:val="center"/>
          </w:tcPr>
          <w:p>
            <w:pPr>
              <w:spacing w:line="300" w:lineRule="auto"/>
              <w:jc w:val="center"/>
              <w:rPr>
                <w:rFonts w:hint="eastAsia"/>
                <w:lang w:val="en-US" w:eastAsia="zh-CN"/>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lang w:val="en-US" w:eastAsia="zh-CN"/>
              </w:rPr>
              <w:t>SSCI二区</w:t>
            </w:r>
          </w:p>
        </w:tc>
        <w:tc>
          <w:tcPr>
            <w:tcW w:w="2054" w:type="dxa"/>
            <w:vAlign w:val="center"/>
          </w:tcPr>
          <w:p>
            <w:pPr>
              <w:spacing w:line="300" w:lineRule="auto"/>
              <w:jc w:val="center"/>
              <w:rPr>
                <w:rFonts w:hint="eastAsia"/>
              </w:rPr>
            </w:pP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tcMar>
              <w:top w:w="57" w:type="dxa"/>
              <w:bottom w:w="28" w:type="dxa"/>
            </w:tcMar>
            <w:vAlign w:val="center"/>
          </w:tcPr>
          <w:p>
            <w:pPr>
              <w:spacing w:line="300" w:lineRule="auto"/>
              <w:jc w:val="center"/>
              <w:rPr>
                <w:rFonts w:hint="eastAsia"/>
              </w:rPr>
            </w:pPr>
            <w:r>
              <w:rPr>
                <w:rFonts w:hint="eastAsia"/>
                <w:lang w:val="en-US" w:eastAsia="zh-CN"/>
              </w:rPr>
              <w:t>SSCI三区</w:t>
            </w:r>
          </w:p>
        </w:tc>
        <w:tc>
          <w:tcPr>
            <w:tcW w:w="2054" w:type="dxa"/>
            <w:vAlign w:val="center"/>
          </w:tcPr>
          <w:p>
            <w:pPr>
              <w:spacing w:line="300" w:lineRule="auto"/>
              <w:jc w:val="center"/>
              <w:rPr>
                <w:rFonts w:hint="default"/>
                <w:lang w:val="en-US" w:eastAsia="zh-CN"/>
              </w:rPr>
            </w:pPr>
            <w:r>
              <w:rPr>
                <w:rFonts w:hint="eastAsia"/>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tcMar>
              <w:top w:w="57" w:type="dxa"/>
              <w:bottom w:w="28" w:type="dxa"/>
            </w:tcMar>
            <w:vAlign w:val="center"/>
          </w:tcPr>
          <w:p>
            <w:pPr>
              <w:spacing w:line="300" w:lineRule="auto"/>
              <w:jc w:val="center"/>
              <w:rPr>
                <w:rFonts w:hint="eastAsia"/>
                <w:lang w:eastAsia="zh-CN"/>
              </w:rPr>
            </w:pPr>
            <w:r>
              <w:rPr>
                <w:rFonts w:hint="eastAsia"/>
                <w:lang w:val="en-US" w:eastAsia="zh-CN"/>
              </w:rPr>
              <w:t>SSCI四区</w:t>
            </w:r>
          </w:p>
        </w:tc>
        <w:tc>
          <w:tcPr>
            <w:tcW w:w="2054" w:type="dxa"/>
            <w:vAlign w:val="center"/>
          </w:tcPr>
          <w:p>
            <w:pPr>
              <w:spacing w:line="300" w:lineRule="auto"/>
              <w:jc w:val="center"/>
              <w:rPr>
                <w:rFonts w:hint="default"/>
                <w:lang w:val="en-US" w:eastAsia="zh-CN"/>
              </w:rPr>
            </w:pPr>
            <w:r>
              <w:rPr>
                <w:rFonts w:hint="eastAsia"/>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val="en-US" w:eastAsia="zh-CN"/>
              </w:rPr>
            </w:pPr>
            <w:r>
              <w:rPr>
                <w:rFonts w:hint="eastAsia"/>
                <w:lang w:val="en-US" w:eastAsia="zh-CN"/>
              </w:rPr>
              <w:t>SCI二区（TOP）</w:t>
            </w:r>
          </w:p>
        </w:tc>
        <w:tc>
          <w:tcPr>
            <w:tcW w:w="2054" w:type="dxa"/>
            <w:vAlign w:val="center"/>
          </w:tcPr>
          <w:p>
            <w:pPr>
              <w:spacing w:line="300" w:lineRule="auto"/>
              <w:jc w:val="center"/>
              <w:rPr>
                <w:rFonts w:hint="default"/>
                <w:lang w:val="en-US" w:eastAsia="zh-CN"/>
              </w:rPr>
            </w:pPr>
            <w:r>
              <w:rPr>
                <w:rFonts w:hint="eastAsia"/>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lang w:val="en-US" w:eastAsia="zh-CN"/>
              </w:rPr>
              <w:t>三级</w:t>
            </w:r>
          </w:p>
        </w:tc>
        <w:tc>
          <w:tcPr>
            <w:tcW w:w="2054" w:type="dxa"/>
            <w:vAlign w:val="center"/>
          </w:tcPr>
          <w:p>
            <w:pPr>
              <w:spacing w:line="300" w:lineRule="auto"/>
              <w:jc w:val="center"/>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lang w:val="en-US" w:eastAsia="zh-CN"/>
              </w:rPr>
              <w:t>核心</w:t>
            </w:r>
          </w:p>
        </w:tc>
        <w:tc>
          <w:tcPr>
            <w:tcW w:w="2054" w:type="dxa"/>
            <w:vAlign w:val="center"/>
          </w:tcPr>
          <w:p>
            <w:pPr>
              <w:spacing w:line="300" w:lineRule="auto"/>
              <w:jc w:val="center"/>
              <w:rPr>
                <w:rFonts w:hint="eastAsia"/>
                <w:lang w:eastAsia="zh-CN"/>
              </w:rPr>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lang w:val="en-US" w:eastAsia="zh-CN"/>
              </w:rPr>
              <w:t>一级</w:t>
            </w:r>
          </w:p>
        </w:tc>
        <w:tc>
          <w:tcPr>
            <w:tcW w:w="2054" w:type="dxa"/>
            <w:vAlign w:val="center"/>
          </w:tcPr>
          <w:p>
            <w:pPr>
              <w:spacing w:line="300" w:lineRule="auto"/>
              <w:jc w:val="center"/>
              <w:rPr>
                <w:rFonts w:hint="default"/>
                <w:lang w:val="en-US" w:eastAsia="zh-CN"/>
              </w:rPr>
            </w:pPr>
            <w:r>
              <w:rPr>
                <w:rFonts w:hint="eastAsia"/>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lang w:val="en-US" w:eastAsia="zh-CN"/>
              </w:rPr>
              <w:t>A&amp;HCI收录的期刊论文</w:t>
            </w:r>
          </w:p>
        </w:tc>
        <w:tc>
          <w:tcPr>
            <w:tcW w:w="2054" w:type="dxa"/>
            <w:vAlign w:val="center"/>
          </w:tcPr>
          <w:p>
            <w:pPr>
              <w:spacing w:line="300" w:lineRule="auto"/>
              <w:jc w:val="center"/>
              <w:rPr>
                <w:rFonts w:hint="default"/>
                <w:lang w:val="en-US" w:eastAsia="zh-CN"/>
              </w:rPr>
            </w:pP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lang w:val="en-US" w:eastAsia="zh-CN"/>
              </w:rPr>
              <w:t>学校认定的A类学术专著</w:t>
            </w:r>
          </w:p>
        </w:tc>
        <w:tc>
          <w:tcPr>
            <w:tcW w:w="2054" w:type="dxa"/>
            <w:vAlign w:val="center"/>
          </w:tcPr>
          <w:p>
            <w:pPr>
              <w:spacing w:line="300" w:lineRule="auto"/>
              <w:jc w:val="center"/>
              <w:rPr>
                <w:rFonts w:hint="default"/>
                <w:lang w:val="en-US" w:eastAsia="zh-CN"/>
              </w:rPr>
            </w:pPr>
            <w:r>
              <w:rPr>
                <w:rFonts w:hint="eastAsia"/>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lang w:val="en-US" w:eastAsia="zh-CN"/>
              </w:rPr>
              <w:t>学校认定的B类学术专著</w:t>
            </w:r>
          </w:p>
        </w:tc>
        <w:tc>
          <w:tcPr>
            <w:tcW w:w="2054" w:type="dxa"/>
            <w:vAlign w:val="center"/>
          </w:tcPr>
          <w:p>
            <w:pPr>
              <w:spacing w:line="300" w:lineRule="auto"/>
              <w:jc w:val="center"/>
              <w:rPr>
                <w:rFonts w:hint="default"/>
                <w:lang w:val="en-US" w:eastAsia="zh-CN"/>
              </w:rPr>
            </w:pPr>
            <w:r>
              <w:rPr>
                <w:rFonts w:hint="eastAsia"/>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lang w:val="en-US" w:eastAsia="zh-CN"/>
              </w:rPr>
              <w:t>学校认定的C类学术专著、译著</w:t>
            </w:r>
          </w:p>
        </w:tc>
        <w:tc>
          <w:tcPr>
            <w:tcW w:w="2054" w:type="dxa"/>
            <w:vAlign w:val="center"/>
          </w:tcPr>
          <w:p>
            <w:pPr>
              <w:spacing w:line="300" w:lineRule="auto"/>
              <w:jc w:val="center"/>
              <w:rPr>
                <w:rFonts w:hint="eastAsia"/>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lang w:val="en-US" w:eastAsia="zh-CN"/>
              </w:rPr>
              <w:t>《SCIENCE》、《NATURE》、《CELL》子刊及影响因子相当的其他期刊</w:t>
            </w:r>
          </w:p>
        </w:tc>
        <w:tc>
          <w:tcPr>
            <w:tcW w:w="2054" w:type="dxa"/>
            <w:vAlign w:val="center"/>
          </w:tcPr>
          <w:p>
            <w:pPr>
              <w:spacing w:line="300" w:lineRule="auto"/>
              <w:jc w:val="center"/>
              <w:rPr>
                <w:rFonts w:hint="default"/>
                <w:lang w:val="en-US" w:eastAsia="zh-CN"/>
              </w:rPr>
            </w:pPr>
            <w:r>
              <w:rPr>
                <w:rFonts w:hint="eastAsia"/>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240" w:lineRule="auto"/>
              <w:jc w:val="center"/>
              <w:rPr>
                <w:rFonts w:hint="eastAsia"/>
              </w:rPr>
            </w:pPr>
            <w:r>
              <w:rPr>
                <w:rFonts w:hint="eastAsia"/>
                <w:lang w:val="en-US" w:eastAsia="zh-CN"/>
              </w:rPr>
              <w:t>《经济研究》、《管理世界》、《法学研究》、《外国文学评论》、《中国社会科学》（英文版）、《新华文摘》（纸质版）</w:t>
            </w:r>
          </w:p>
        </w:tc>
        <w:tc>
          <w:tcPr>
            <w:tcW w:w="2054" w:type="dxa"/>
            <w:vAlign w:val="center"/>
          </w:tcPr>
          <w:p>
            <w:pPr>
              <w:spacing w:line="300" w:lineRule="auto"/>
              <w:jc w:val="center"/>
              <w:rPr>
                <w:rFonts w:hint="eastAsia"/>
              </w:rPr>
            </w:pPr>
            <w:r>
              <w:rPr>
                <w:rFonts w:hint="eastAsia"/>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240" w:lineRule="auto"/>
              <w:jc w:val="center"/>
              <w:rPr>
                <w:rFonts w:hint="eastAsia"/>
              </w:rPr>
            </w:pPr>
            <w:r>
              <w:rPr>
                <w:rFonts w:hint="eastAsia"/>
                <w:sz w:val="21"/>
                <w:szCs w:val="22"/>
                <w:lang w:val="en-US" w:eastAsia="zh-CN"/>
              </w:rPr>
              <w:t>其他核心：北大核心期刊、《中国社会科学报》（理论版）、《中国教育报》（理论版）、CPCI-S收录会议论文、《浙江体育科学》、《印度学佛教学研究》、《法语国家与地区研究》</w:t>
            </w:r>
          </w:p>
        </w:tc>
        <w:tc>
          <w:tcPr>
            <w:tcW w:w="2054" w:type="dxa"/>
            <w:vAlign w:val="center"/>
          </w:tcPr>
          <w:p>
            <w:pPr>
              <w:spacing w:line="300" w:lineRule="auto"/>
              <w:jc w:val="center"/>
              <w:rPr>
                <w:rFonts w:hint="eastAsia"/>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lang w:val="en-US" w:eastAsia="zh-CN"/>
              </w:rPr>
              <w:t>EI收录的期刊论文</w:t>
            </w:r>
          </w:p>
        </w:tc>
        <w:tc>
          <w:tcPr>
            <w:tcW w:w="2054" w:type="dxa"/>
            <w:vAlign w:val="center"/>
          </w:tcPr>
          <w:p>
            <w:pPr>
              <w:spacing w:line="300" w:lineRule="auto"/>
              <w:jc w:val="center"/>
              <w:rPr>
                <w:rFonts w:hint="eastAsia"/>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lang w:val="en-US" w:eastAsia="zh-CN"/>
              </w:rPr>
              <w:t>校TOP A档期刊</w:t>
            </w:r>
          </w:p>
        </w:tc>
        <w:tc>
          <w:tcPr>
            <w:tcW w:w="2054" w:type="dxa"/>
            <w:vAlign w:val="center"/>
          </w:tcPr>
          <w:p>
            <w:pPr>
              <w:spacing w:line="300" w:lineRule="auto"/>
              <w:jc w:val="center"/>
              <w:rPr>
                <w:rFonts w:hint="eastAsia"/>
              </w:rPr>
            </w:pPr>
            <w:r>
              <w:rPr>
                <w:rFonts w:hint="eastAsia"/>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lang w:val="en-US" w:eastAsia="zh-CN"/>
              </w:rPr>
              <w:t>校TOP B档期刊</w:t>
            </w:r>
          </w:p>
        </w:tc>
        <w:tc>
          <w:tcPr>
            <w:tcW w:w="2054" w:type="dxa"/>
            <w:vAlign w:val="center"/>
          </w:tcPr>
          <w:p>
            <w:pPr>
              <w:spacing w:line="300" w:lineRule="auto"/>
              <w:jc w:val="center"/>
              <w:rPr>
                <w:rFonts w:hint="eastAsia"/>
              </w:rPr>
            </w:pPr>
            <w:r>
              <w:rPr>
                <w:rFonts w:hint="eastAsia"/>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lang w:val="en-US" w:eastAsia="zh-CN"/>
              </w:rPr>
              <w:t>被授权的美日欧发明专利</w:t>
            </w:r>
          </w:p>
        </w:tc>
        <w:tc>
          <w:tcPr>
            <w:tcW w:w="2054" w:type="dxa"/>
            <w:vAlign w:val="center"/>
          </w:tcPr>
          <w:p>
            <w:pPr>
              <w:spacing w:line="300" w:lineRule="auto"/>
              <w:jc w:val="center"/>
              <w:rPr>
                <w:rFonts w:hint="eastAsia"/>
              </w:rPr>
            </w:pPr>
            <w:r>
              <w:rPr>
                <w:rFonts w:hint="eastAsia"/>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lang w:val="en-US" w:eastAsia="zh-CN"/>
              </w:rPr>
              <w:t>被授权的其它国家或地区发明专利</w:t>
            </w:r>
          </w:p>
        </w:tc>
        <w:tc>
          <w:tcPr>
            <w:tcW w:w="2054" w:type="dxa"/>
            <w:vAlign w:val="center"/>
          </w:tcPr>
          <w:p>
            <w:pPr>
              <w:spacing w:line="300" w:lineRule="auto"/>
              <w:jc w:val="center"/>
              <w:rPr>
                <w:rFonts w:hint="eastAsia"/>
              </w:rPr>
            </w:pP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旅游论坛、旅游研究、北京第二外语学院学报</w:t>
            </w:r>
          </w:p>
        </w:tc>
        <w:tc>
          <w:tcPr>
            <w:tcW w:w="2054" w:type="dxa"/>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10分/篇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独自出版学术专著</w:t>
            </w:r>
          </w:p>
        </w:tc>
        <w:tc>
          <w:tcPr>
            <w:tcW w:w="2054" w:type="dxa"/>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60分/部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default" w:ascii="Calibri" w:hAnsi="Calibri" w:eastAsia="宋体" w:cs="Times New Roman"/>
                <w:kern w:val="2"/>
                <w:sz w:val="21"/>
                <w:szCs w:val="22"/>
                <w:lang w:val="en-US" w:eastAsia="zh-CN" w:bidi="ar-SA"/>
              </w:rPr>
            </w:pPr>
            <w:r>
              <w:rPr>
                <w:rFonts w:hint="eastAsia"/>
              </w:rPr>
              <w:t>独自出版学术译著</w:t>
            </w:r>
          </w:p>
        </w:tc>
        <w:tc>
          <w:tcPr>
            <w:tcW w:w="2054" w:type="dxa"/>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30分/部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151" w:type="dxa"/>
            <w:vAlign w:val="center"/>
          </w:tcPr>
          <w:p>
            <w:pPr>
              <w:rPr>
                <w:rFonts w:ascii="宋体"/>
                <w:szCs w:val="21"/>
              </w:rPr>
            </w:pPr>
          </w:p>
        </w:tc>
        <w:tc>
          <w:tcPr>
            <w:tcW w:w="5003" w:type="dxa"/>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参加编著</w:t>
            </w:r>
            <w:r>
              <w:rPr>
                <w:rFonts w:hint="eastAsia"/>
                <w:lang w:val="en-US" w:eastAsia="zh-CN"/>
              </w:rPr>
              <w:t>A类学术专著</w:t>
            </w:r>
            <w:r>
              <w:rPr>
                <w:rFonts w:hint="eastAsia"/>
              </w:rPr>
              <w:t>达</w:t>
            </w:r>
            <w:r>
              <w:rPr>
                <w:rFonts w:hint="eastAsia"/>
                <w:lang w:val="en-US" w:eastAsia="zh-CN"/>
              </w:rPr>
              <w:t>2-5</w:t>
            </w:r>
            <w:r>
              <w:rPr>
                <w:rFonts w:hint="eastAsia"/>
              </w:rPr>
              <w:t>万字以上</w:t>
            </w:r>
          </w:p>
        </w:tc>
        <w:tc>
          <w:tcPr>
            <w:tcW w:w="2054" w:type="dxa"/>
            <w:vAlign w:val="center"/>
          </w:tcPr>
          <w:p>
            <w:pPr>
              <w:spacing w:line="300" w:lineRule="auto"/>
              <w:jc w:val="cente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0" w:type="auto"/>
          </w:tcPr>
          <w:p>
            <w:pPr>
              <w:rPr>
                <w:rFonts w:ascii="宋体"/>
                <w:szCs w:val="21"/>
              </w:rPr>
            </w:pP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参加编著</w:t>
            </w:r>
            <w:r>
              <w:rPr>
                <w:rFonts w:hint="eastAsia"/>
                <w:lang w:val="en-US" w:eastAsia="zh-CN"/>
              </w:rPr>
              <w:t>A类学术专著</w:t>
            </w:r>
            <w:r>
              <w:rPr>
                <w:rFonts w:hint="eastAsia"/>
              </w:rPr>
              <w:t>达</w:t>
            </w:r>
            <w:r>
              <w:rPr>
                <w:rFonts w:hint="eastAsia"/>
                <w:lang w:val="en-US" w:eastAsia="zh-CN"/>
              </w:rPr>
              <w:t>1</w:t>
            </w:r>
            <w:r>
              <w:rPr>
                <w:rFonts w:hint="eastAsia"/>
              </w:rPr>
              <w:t>万字以上</w:t>
            </w: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0" w:type="auto"/>
          </w:tcPr>
          <w:p>
            <w:pPr>
              <w:rPr>
                <w:rFonts w:ascii="宋体"/>
                <w:szCs w:val="21"/>
              </w:rPr>
            </w:pPr>
          </w:p>
        </w:tc>
        <w:tc>
          <w:tcPr>
            <w:tcW w:w="5003" w:type="dxa"/>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参加编著</w:t>
            </w:r>
            <w:r>
              <w:rPr>
                <w:rFonts w:hint="eastAsia"/>
                <w:lang w:val="en-US" w:eastAsia="zh-CN"/>
              </w:rPr>
              <w:t>B类学术专著</w:t>
            </w:r>
            <w:r>
              <w:rPr>
                <w:rFonts w:hint="eastAsia"/>
              </w:rPr>
              <w:t>达</w:t>
            </w:r>
            <w:r>
              <w:rPr>
                <w:rFonts w:hint="eastAsia"/>
                <w:lang w:val="en-US" w:eastAsia="zh-CN"/>
              </w:rPr>
              <w:t>2-5</w:t>
            </w:r>
            <w:r>
              <w:rPr>
                <w:rFonts w:hint="eastAsia"/>
              </w:rPr>
              <w:t>万字以上</w:t>
            </w:r>
          </w:p>
        </w:tc>
        <w:tc>
          <w:tcPr>
            <w:tcW w:w="2054" w:type="dxa"/>
            <w:vAlign w:val="center"/>
          </w:tcPr>
          <w:p>
            <w:pPr>
              <w:spacing w:line="300" w:lineRule="auto"/>
              <w:jc w:val="cente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0" w:type="auto"/>
          </w:tcPr>
          <w:p>
            <w:pPr>
              <w:rPr>
                <w:rFonts w:ascii="宋体"/>
                <w:szCs w:val="21"/>
              </w:rPr>
            </w:pP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参加编著</w:t>
            </w:r>
            <w:r>
              <w:rPr>
                <w:rFonts w:hint="eastAsia"/>
                <w:lang w:val="en-US" w:eastAsia="zh-CN"/>
              </w:rPr>
              <w:t>B类学术专著</w:t>
            </w:r>
            <w:r>
              <w:rPr>
                <w:rFonts w:hint="eastAsia"/>
              </w:rPr>
              <w:t>达</w:t>
            </w:r>
            <w:r>
              <w:rPr>
                <w:rFonts w:hint="eastAsia"/>
                <w:lang w:val="en-US" w:eastAsia="zh-CN"/>
              </w:rPr>
              <w:t>1</w:t>
            </w:r>
            <w:r>
              <w:rPr>
                <w:rFonts w:hint="eastAsia"/>
              </w:rPr>
              <w:t>万字以上</w:t>
            </w: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0" w:type="auto"/>
          </w:tcPr>
          <w:p>
            <w:pPr>
              <w:rPr>
                <w:rFonts w:ascii="宋体"/>
                <w:szCs w:val="21"/>
              </w:rPr>
            </w:pP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参加编著</w:t>
            </w:r>
            <w:r>
              <w:rPr>
                <w:rFonts w:hint="eastAsia"/>
                <w:lang w:val="en-US" w:eastAsia="zh-CN"/>
              </w:rPr>
              <w:t>C类</w:t>
            </w:r>
            <w:r>
              <w:rPr>
                <w:rFonts w:hint="eastAsia"/>
              </w:rPr>
              <w:t>学术著作达10万字以上</w:t>
            </w: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lang w:val="en-US" w:eastAsia="zh-CN"/>
              </w:rPr>
              <w:t>8</w:t>
            </w:r>
            <w:r>
              <w:rPr>
                <w:rFonts w:hint="eastAsia"/>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0" w:type="auto"/>
          </w:tcPr>
          <w:p>
            <w:pPr>
              <w:rPr>
                <w:rFonts w:ascii="宋体"/>
                <w:szCs w:val="21"/>
              </w:rPr>
            </w:pP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参加编著</w:t>
            </w:r>
            <w:r>
              <w:rPr>
                <w:rFonts w:hint="eastAsia"/>
                <w:lang w:val="en-US" w:eastAsia="zh-CN"/>
              </w:rPr>
              <w:t>C类</w:t>
            </w:r>
            <w:r>
              <w:rPr>
                <w:rFonts w:hint="eastAsia"/>
              </w:rPr>
              <w:t>学术著作达5万至10万字</w:t>
            </w: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lang w:val="en-US" w:eastAsia="zh-CN"/>
              </w:rPr>
              <w:t>6</w:t>
            </w:r>
            <w:r>
              <w:rPr>
                <w:rFonts w:hint="eastAsia"/>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0" w:type="auto"/>
          </w:tcPr>
          <w:p>
            <w:pPr>
              <w:rPr>
                <w:rFonts w:ascii="宋体"/>
                <w:szCs w:val="21"/>
              </w:rPr>
            </w:pP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参加编著</w:t>
            </w:r>
            <w:r>
              <w:rPr>
                <w:rFonts w:hint="eastAsia"/>
                <w:lang w:val="en-US" w:eastAsia="zh-CN"/>
              </w:rPr>
              <w:t>C类</w:t>
            </w:r>
            <w:r>
              <w:rPr>
                <w:rFonts w:hint="eastAsia"/>
              </w:rPr>
              <w:t>学术著作达2万至5万字</w:t>
            </w: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lang w:val="en-US" w:eastAsia="zh-CN"/>
              </w:rPr>
              <w:t>4</w:t>
            </w:r>
            <w:r>
              <w:rPr>
                <w:rFonts w:hint="eastAsia"/>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0" w:type="auto"/>
          </w:tcPr>
          <w:p>
            <w:pPr>
              <w:rPr>
                <w:rFonts w:ascii="宋体"/>
                <w:szCs w:val="21"/>
              </w:rPr>
            </w:pP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参加翻译学术著作达5万字以上</w:t>
            </w: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10分/部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0" w:type="auto"/>
          </w:tcPr>
          <w:p>
            <w:pPr>
              <w:rPr>
                <w:rFonts w:ascii="宋体"/>
                <w:szCs w:val="21"/>
              </w:rPr>
            </w:pP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参加翻译学术著作达2万至5万字</w:t>
            </w: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5分/部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0" w:type="auto"/>
          </w:tcPr>
          <w:p>
            <w:pPr>
              <w:rPr>
                <w:rFonts w:ascii="宋体"/>
                <w:szCs w:val="21"/>
              </w:rPr>
            </w:pPr>
          </w:p>
        </w:tc>
        <w:tc>
          <w:tcPr>
            <w:tcW w:w="0" w:type="auto"/>
            <w:vAlign w:val="center"/>
          </w:tcPr>
          <w:p>
            <w:pPr>
              <w:spacing w:line="300" w:lineRule="auto"/>
              <w:jc w:val="center"/>
              <w:rPr>
                <w:rFonts w:hint="eastAsia"/>
                <w:lang w:eastAsia="zh-CN"/>
              </w:rPr>
            </w:pPr>
            <w:r>
              <w:rPr>
                <w:rFonts w:hint="eastAsia"/>
              </w:rPr>
              <w:t>收入</w:t>
            </w:r>
            <w:r>
              <w:rPr>
                <w:rFonts w:hint="eastAsia"/>
                <w:lang w:eastAsia="zh-CN"/>
              </w:rPr>
              <w:t>学院认定的</w:t>
            </w:r>
            <w:r>
              <w:rPr>
                <w:rFonts w:hint="eastAsia"/>
              </w:rPr>
              <w:t>全国性学术会议论文集的论文</w:t>
            </w:r>
            <w:r>
              <w:rPr>
                <w:rFonts w:hint="eastAsia"/>
                <w:lang w:eastAsia="zh-CN"/>
              </w:rPr>
              <w:t>；</w:t>
            </w:r>
          </w:p>
          <w:p>
            <w:pPr>
              <w:spacing w:line="300" w:lineRule="auto"/>
              <w:jc w:val="center"/>
              <w:rPr>
                <w:rFonts w:hint="eastAsia" w:ascii="Calibri" w:hAnsi="Calibri" w:eastAsia="宋体" w:cs="Times New Roman"/>
                <w:kern w:val="2"/>
                <w:sz w:val="21"/>
                <w:szCs w:val="22"/>
                <w:lang w:val="en-US" w:eastAsia="zh-CN" w:bidi="ar-SA"/>
              </w:rPr>
            </w:pPr>
            <w:r>
              <w:rPr>
                <w:rFonts w:hint="eastAsia"/>
              </w:rPr>
              <w:t>国际性学术会议论文集的论文</w:t>
            </w:r>
          </w:p>
        </w:tc>
        <w:tc>
          <w:tcPr>
            <w:tcW w:w="0" w:type="auto"/>
            <w:vAlign w:val="center"/>
          </w:tcPr>
          <w:p>
            <w:pPr>
              <w:spacing w:line="300" w:lineRule="auto"/>
              <w:jc w:val="center"/>
              <w:rPr>
                <w:rFonts w:hint="eastAsia" w:ascii="Calibri" w:hAnsi="Calibri" w:eastAsia="宋体" w:cs="Times New Roman"/>
                <w:kern w:val="2"/>
                <w:sz w:val="21"/>
                <w:szCs w:val="22"/>
                <w:lang w:val="en-US" w:eastAsia="zh-CN" w:bidi="ar-SA"/>
              </w:rPr>
            </w:pPr>
            <w:r>
              <w:rPr>
                <w:rFonts w:hint="eastAsia"/>
              </w:rPr>
              <w:t>5分/篇</w:t>
            </w:r>
          </w:p>
        </w:tc>
      </w:tr>
    </w:tbl>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）论文及著作（含会议论文、参与项目）加分实行代表作制，每名参评研究生代表作原则上不超过</w:t>
      </w:r>
      <w:r>
        <w:rPr>
          <w:rFonts w:ascii="宋体" w:hAnsi="宋体"/>
          <w:sz w:val="24"/>
          <w:szCs w:val="24"/>
        </w:rPr>
        <w:t>4</w:t>
      </w:r>
      <w:r>
        <w:rPr>
          <w:rFonts w:hint="eastAsia" w:ascii="宋体" w:hAnsi="宋体"/>
          <w:sz w:val="24"/>
          <w:szCs w:val="24"/>
        </w:rPr>
        <w:t>篇（项）。代表作目录需导师签字审定。（</w:t>
      </w:r>
      <w:r>
        <w:rPr>
          <w:rFonts w:ascii="宋体" w:hAnsi="宋体"/>
          <w:sz w:val="24"/>
          <w:szCs w:val="24"/>
        </w:rPr>
        <w:t>2</w:t>
      </w:r>
      <w:r>
        <w:rPr>
          <w:rFonts w:hint="eastAsia" w:ascii="宋体" w:hAnsi="宋体"/>
          <w:sz w:val="24"/>
          <w:szCs w:val="24"/>
        </w:rPr>
        <w:t>）合作成果根据作者先后顺序按（</w:t>
      </w:r>
      <w:r>
        <w:rPr>
          <w:rFonts w:ascii="宋体" w:hAnsi="宋体"/>
          <w:sz w:val="24"/>
          <w:szCs w:val="24"/>
        </w:rPr>
        <w:t>6</w:t>
      </w: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1</w:t>
      </w:r>
      <w:r>
        <w:rPr>
          <w:rFonts w:hint="eastAsia" w:ascii="宋体" w:hAnsi="宋体"/>
          <w:sz w:val="24"/>
          <w:szCs w:val="24"/>
        </w:rPr>
        <w:t>或</w:t>
      </w:r>
      <w:r>
        <w:rPr>
          <w:rFonts w:ascii="宋体" w:hAnsi="宋体"/>
          <w:sz w:val="24"/>
          <w:szCs w:val="24"/>
        </w:rPr>
        <w:t>7</w:t>
      </w:r>
      <w:r>
        <w:rPr>
          <w:rFonts w:hint="eastAsia" w:ascii="宋体" w:hAnsi="宋体"/>
          <w:sz w:val="24"/>
          <w:szCs w:val="24"/>
        </w:rPr>
        <w:t>：</w:t>
      </w:r>
      <w:r>
        <w:rPr>
          <w:rFonts w:ascii="宋体" w:hAnsi="宋体"/>
          <w:sz w:val="24"/>
          <w:szCs w:val="24"/>
        </w:rPr>
        <w:t>3</w:t>
      </w:r>
      <w:r>
        <w:rPr>
          <w:rFonts w:hint="eastAsia" w:ascii="宋体" w:hAnsi="宋体"/>
          <w:sz w:val="24"/>
          <w:szCs w:val="24"/>
        </w:rPr>
        <w:t>）比例分配得分。若研究生为第二作者，其导师为第一作者，视研究生为第一作者。排名第四及以后作者不能分享该论文得分。第一作者和评奖人单位应明确为浙江工商大学，否则不加分。（</w:t>
      </w:r>
      <w:r>
        <w:rPr>
          <w:rFonts w:ascii="宋体" w:hAnsi="宋体"/>
          <w:sz w:val="24"/>
          <w:szCs w:val="24"/>
        </w:rPr>
        <w:t>3</w:t>
      </w:r>
      <w:r>
        <w:rPr>
          <w:rFonts w:hint="eastAsia" w:ascii="宋体" w:hAnsi="宋体"/>
          <w:sz w:val="24"/>
          <w:szCs w:val="24"/>
        </w:rPr>
        <w:t>）同一论文被不同刊物收录（转载），以最高级别刊物加分，不累加。</w:t>
      </w:r>
      <w:r>
        <w:rPr>
          <w:rFonts w:ascii="宋体" w:hAnsi="宋体"/>
          <w:sz w:val="24"/>
          <w:szCs w:val="24"/>
        </w:rPr>
        <w:t>(4)</w:t>
      </w:r>
      <w:r>
        <w:rPr>
          <w:rFonts w:hint="eastAsia" w:ascii="宋体" w:hAnsi="宋体"/>
          <w:sz w:val="24"/>
          <w:szCs w:val="24"/>
        </w:rPr>
        <w:t>所有成果加分均应有书籍原件证实，否则不得加分；参编、翻译著作文字在</w:t>
      </w:r>
      <w:r>
        <w:rPr>
          <w:rFonts w:ascii="宋体" w:hAnsi="宋体"/>
          <w:sz w:val="24"/>
          <w:szCs w:val="24"/>
        </w:rPr>
        <w:t>2</w:t>
      </w:r>
      <w:r>
        <w:rPr>
          <w:rFonts w:hint="eastAsia" w:ascii="宋体" w:hAnsi="宋体"/>
          <w:sz w:val="24"/>
          <w:szCs w:val="24"/>
        </w:rPr>
        <w:t>万字以下的，不得加分。（</w:t>
      </w:r>
      <w:r>
        <w:rPr>
          <w:rFonts w:ascii="宋体" w:hAnsi="宋体"/>
          <w:sz w:val="24"/>
          <w:szCs w:val="24"/>
        </w:rPr>
        <w:t>5</w:t>
      </w:r>
      <w:r>
        <w:rPr>
          <w:rFonts w:hint="eastAsia" w:ascii="宋体" w:hAnsi="宋体"/>
          <w:sz w:val="24"/>
          <w:szCs w:val="24"/>
        </w:rPr>
        <w:t>）收入论文集的必须有论文集（论文集光盘），否则不予加分。同一论文在不同的学术会议上收录，以最高分计，不累加。（</w:t>
      </w:r>
      <w:r>
        <w:rPr>
          <w:rFonts w:ascii="宋体" w:hAnsi="宋体"/>
          <w:sz w:val="24"/>
          <w:szCs w:val="24"/>
        </w:rPr>
        <w:t>6</w:t>
      </w:r>
      <w:r>
        <w:rPr>
          <w:rFonts w:hint="eastAsia" w:ascii="宋体" w:hAnsi="宋体"/>
          <w:sz w:val="24"/>
          <w:szCs w:val="24"/>
        </w:rPr>
        <w:t>）刊物级别认定参照</w:t>
      </w:r>
      <w:r>
        <w:rPr>
          <w:rFonts w:hint="eastAsia" w:ascii="宋体" w:hAnsi="宋体"/>
          <w:sz w:val="24"/>
          <w:szCs w:val="24"/>
          <w:lang w:eastAsia="zh-CN"/>
        </w:rPr>
        <w:t>学校</w:t>
      </w:r>
      <w:r>
        <w:rPr>
          <w:rFonts w:hint="eastAsia" w:ascii="宋体" w:hAnsi="宋体"/>
          <w:sz w:val="24"/>
          <w:szCs w:val="24"/>
        </w:rPr>
        <w:t>学术期刊目录。（</w:t>
      </w:r>
      <w:r>
        <w:rPr>
          <w:rFonts w:ascii="宋体" w:hAnsi="宋体"/>
          <w:sz w:val="24"/>
          <w:szCs w:val="24"/>
        </w:rPr>
        <w:t>7</w:t>
      </w:r>
      <w:r>
        <w:rPr>
          <w:rFonts w:hint="eastAsia" w:ascii="宋体" w:hAnsi="宋体"/>
          <w:sz w:val="24"/>
          <w:szCs w:val="24"/>
        </w:rPr>
        <w:t>）提供录用证明的论文×</w:t>
      </w:r>
      <w:r>
        <w:rPr>
          <w:rFonts w:ascii="宋体"/>
          <w:sz w:val="24"/>
          <w:szCs w:val="24"/>
        </w:rPr>
        <w:t>0.</w:t>
      </w:r>
      <w:r>
        <w:rPr>
          <w:rFonts w:ascii="宋体" w:hAnsi="宋体"/>
          <w:sz w:val="24"/>
          <w:szCs w:val="24"/>
        </w:rPr>
        <w:t>8</w:t>
      </w:r>
      <w:r>
        <w:rPr>
          <w:rFonts w:hint="eastAsia" w:ascii="宋体" w:hAnsi="宋体"/>
          <w:sz w:val="24"/>
          <w:szCs w:val="24"/>
        </w:rPr>
        <w:t>。</w:t>
      </w:r>
    </w:p>
    <w:p>
      <w:pPr>
        <w:spacing w:line="360" w:lineRule="auto"/>
        <w:rPr>
          <w:rFonts w:ascii="宋体"/>
          <w:b/>
          <w:bCs/>
          <w:sz w:val="28"/>
          <w:szCs w:val="28"/>
        </w:rPr>
      </w:pPr>
      <w:r>
        <w:rPr>
          <w:rFonts w:ascii="宋体" w:hAnsi="宋体"/>
          <w:b/>
          <w:bCs/>
          <w:sz w:val="28"/>
          <w:szCs w:val="28"/>
        </w:rPr>
        <w:t xml:space="preserve">   3.</w:t>
      </w:r>
      <w:r>
        <w:rPr>
          <w:rFonts w:hint="eastAsia" w:ascii="宋体" w:hAnsi="宋体"/>
          <w:b/>
          <w:bCs/>
          <w:sz w:val="28"/>
          <w:szCs w:val="28"/>
        </w:rPr>
        <w:t>课题计分标准</w:t>
      </w:r>
    </w:p>
    <w:tbl>
      <w:tblPr>
        <w:tblStyle w:val="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946"/>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vAlign w:val="center"/>
          </w:tcPr>
          <w:p>
            <w:pPr>
              <w:spacing w:line="360" w:lineRule="auto"/>
              <w:ind w:firstLine="1260" w:firstLineChars="600"/>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课题类计分项目</w:t>
            </w:r>
          </w:p>
        </w:tc>
        <w:tc>
          <w:tcPr>
            <w:tcW w:w="3233" w:type="dxa"/>
            <w:vAlign w:val="center"/>
          </w:tcPr>
          <w:p>
            <w:pPr>
              <w:spacing w:line="360" w:lineRule="auto"/>
              <w:jc w:val="center"/>
              <w:rPr>
                <w:rFonts w:ascii="宋体"/>
                <w:szCs w:val="21"/>
              </w:rPr>
            </w:pPr>
            <w:r>
              <w:rPr>
                <w:rFonts w:hint="eastAsia" w:ascii="宋体" w:hAnsi="宋体"/>
                <w:szCs w:val="21"/>
              </w:rPr>
              <w:t>计分</w:t>
            </w:r>
            <w:r>
              <w:rPr>
                <w:rFonts w:ascii="宋体" w:hAnsi="宋体"/>
                <w:szCs w:val="21"/>
              </w:rPr>
              <w:t>(</w:t>
            </w:r>
            <w:r>
              <w:rPr>
                <w:rFonts w:hint="eastAsia" w:ascii="宋体" w:hAnsi="宋体"/>
                <w:szCs w:val="21"/>
              </w:rPr>
              <w:t>分</w:t>
            </w:r>
            <w:r>
              <w:rPr>
                <w:rFonts w:ascii="宋体" w:hAnsi="宋体"/>
                <w:szCs w:val="21"/>
              </w:rPr>
              <w:t>/</w:t>
            </w:r>
            <w:r>
              <w:rPr>
                <w:rFonts w:hint="eastAsia" w:ascii="宋体" w:hAnsi="宋体"/>
                <w:szCs w:val="21"/>
              </w:rPr>
              <w:t>项</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vMerge w:val="restart"/>
            <w:vAlign w:val="center"/>
          </w:tcPr>
          <w:p>
            <w:pPr>
              <w:spacing w:line="360" w:lineRule="auto"/>
              <w:jc w:val="center"/>
              <w:rPr>
                <w:rFonts w:ascii="宋体"/>
                <w:szCs w:val="21"/>
              </w:rPr>
            </w:pPr>
            <w:r>
              <w:rPr>
                <w:rFonts w:hint="eastAsia" w:ascii="宋体" w:hAnsi="宋体"/>
                <w:szCs w:val="21"/>
              </w:rPr>
              <w:t>说明</w:t>
            </w:r>
          </w:p>
        </w:tc>
        <w:tc>
          <w:tcPr>
            <w:tcW w:w="3946" w:type="dxa"/>
            <w:vAlign w:val="center"/>
          </w:tcPr>
          <w:p>
            <w:pPr>
              <w:spacing w:line="360" w:lineRule="auto"/>
              <w:jc w:val="center"/>
              <w:rPr>
                <w:rFonts w:ascii="宋体"/>
                <w:szCs w:val="21"/>
              </w:rPr>
            </w:pPr>
            <w:r>
              <w:rPr>
                <w:rFonts w:hint="eastAsia" w:ascii="宋体" w:hAnsi="宋体"/>
                <w:szCs w:val="21"/>
              </w:rPr>
              <w:t>国家级项目</w:t>
            </w:r>
          </w:p>
        </w:tc>
        <w:tc>
          <w:tcPr>
            <w:tcW w:w="3233" w:type="dxa"/>
            <w:vAlign w:val="center"/>
          </w:tcPr>
          <w:p>
            <w:pPr>
              <w:spacing w:line="360" w:lineRule="auto"/>
              <w:jc w:val="center"/>
              <w:rPr>
                <w:rFonts w:asci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省部级项目</w:t>
            </w:r>
          </w:p>
        </w:tc>
        <w:tc>
          <w:tcPr>
            <w:tcW w:w="3233" w:type="dxa"/>
            <w:vAlign w:val="center"/>
          </w:tcPr>
          <w:p>
            <w:pPr>
              <w:spacing w:line="360" w:lineRule="auto"/>
              <w:jc w:val="center"/>
              <w:rPr>
                <w:rFonts w:asci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厅级项目</w:t>
            </w:r>
          </w:p>
        </w:tc>
        <w:tc>
          <w:tcPr>
            <w:tcW w:w="3233" w:type="dxa"/>
            <w:vAlign w:val="center"/>
          </w:tcPr>
          <w:p>
            <w:pPr>
              <w:spacing w:line="360" w:lineRule="auto"/>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副厅级</w:t>
            </w:r>
          </w:p>
        </w:tc>
        <w:tc>
          <w:tcPr>
            <w:tcW w:w="3233" w:type="dxa"/>
            <w:vAlign w:val="center"/>
          </w:tcPr>
          <w:p>
            <w:pPr>
              <w:spacing w:line="360" w:lineRule="auto"/>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校级项目</w:t>
            </w:r>
          </w:p>
        </w:tc>
        <w:tc>
          <w:tcPr>
            <w:tcW w:w="3233" w:type="dxa"/>
            <w:vAlign w:val="center"/>
          </w:tcPr>
          <w:p>
            <w:pPr>
              <w:spacing w:line="360" w:lineRule="auto"/>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企业横向课题</w:t>
            </w:r>
          </w:p>
        </w:tc>
        <w:tc>
          <w:tcPr>
            <w:tcW w:w="3233" w:type="dxa"/>
            <w:vAlign w:val="center"/>
          </w:tcPr>
          <w:p>
            <w:pPr>
              <w:spacing w:line="360" w:lineRule="auto"/>
              <w:jc w:val="center"/>
              <w:rPr>
                <w:rFonts w:ascii="宋体"/>
                <w:szCs w:val="21"/>
              </w:rPr>
            </w:pPr>
            <w:r>
              <w:rPr>
                <w:rFonts w:ascii="宋体" w:hAnsi="宋体"/>
                <w:szCs w:val="21"/>
              </w:rPr>
              <w:t>3</w:t>
            </w:r>
          </w:p>
        </w:tc>
      </w:tr>
    </w:tbl>
    <w:p>
      <w:pPr>
        <w:spacing w:line="360" w:lineRule="auto"/>
        <w:ind w:firstLine="480" w:firstLineChars="200"/>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参评研究生课题应是研究生本人主持，课题加分实行代表作制，每名参评研究生不超过</w:t>
      </w:r>
      <w:r>
        <w:rPr>
          <w:rFonts w:ascii="宋体" w:hAnsi="宋体"/>
          <w:sz w:val="24"/>
          <w:szCs w:val="24"/>
        </w:rPr>
        <w:t>4</w:t>
      </w:r>
      <w:r>
        <w:rPr>
          <w:rFonts w:hint="eastAsia" w:ascii="宋体" w:hAnsi="宋体"/>
          <w:sz w:val="24"/>
          <w:szCs w:val="24"/>
        </w:rPr>
        <w:t>项，其中横向课题不超过</w:t>
      </w:r>
      <w:r>
        <w:rPr>
          <w:rFonts w:ascii="宋体" w:hAnsi="宋体"/>
          <w:sz w:val="24"/>
          <w:szCs w:val="24"/>
        </w:rPr>
        <w:t>3</w:t>
      </w:r>
      <w:r>
        <w:rPr>
          <w:rFonts w:hint="eastAsia" w:ascii="宋体" w:hAnsi="宋体"/>
          <w:sz w:val="24"/>
          <w:szCs w:val="24"/>
        </w:rPr>
        <w:t>项，需导师签字审定。</w:t>
      </w:r>
      <w:r>
        <w:rPr>
          <w:rFonts w:ascii="宋体" w:hAnsi="宋体"/>
          <w:sz w:val="24"/>
          <w:szCs w:val="24"/>
        </w:rPr>
        <w:t>(2)</w:t>
      </w:r>
      <w:r>
        <w:rPr>
          <w:rFonts w:hint="eastAsia" w:ascii="宋体" w:hAnsi="宋体"/>
          <w:sz w:val="24"/>
          <w:szCs w:val="24"/>
        </w:rPr>
        <w:t>参与课题根据排名顺序按（</w:t>
      </w:r>
      <w:r>
        <w:rPr>
          <w:rFonts w:ascii="宋体" w:hAnsi="宋体"/>
          <w:sz w:val="24"/>
          <w:szCs w:val="24"/>
        </w:rPr>
        <w:t>6</w:t>
      </w: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1</w:t>
      </w:r>
      <w:r>
        <w:rPr>
          <w:rFonts w:hint="eastAsia" w:ascii="宋体" w:hAnsi="宋体"/>
          <w:sz w:val="24"/>
          <w:szCs w:val="24"/>
        </w:rPr>
        <w:t>或</w:t>
      </w:r>
      <w:r>
        <w:rPr>
          <w:rFonts w:ascii="宋体" w:hAnsi="宋体"/>
          <w:sz w:val="24"/>
          <w:szCs w:val="24"/>
        </w:rPr>
        <w:t>7</w:t>
      </w:r>
      <w:r>
        <w:rPr>
          <w:rFonts w:hint="eastAsia" w:ascii="宋体" w:hAnsi="宋体"/>
          <w:sz w:val="24"/>
          <w:szCs w:val="24"/>
        </w:rPr>
        <w:t>：</w:t>
      </w:r>
      <w:r>
        <w:rPr>
          <w:rFonts w:ascii="宋体" w:hAnsi="宋体"/>
          <w:sz w:val="24"/>
          <w:szCs w:val="24"/>
        </w:rPr>
        <w:t>3</w:t>
      </w:r>
      <w:r>
        <w:rPr>
          <w:rFonts w:hint="eastAsia" w:ascii="宋体" w:hAnsi="宋体"/>
          <w:sz w:val="24"/>
          <w:szCs w:val="24"/>
        </w:rPr>
        <w:t>）比例分配得分。课题排名第四及以后作者不能分享得分。第一作者和单位应明确为浙江工商大学，否则不加分。（</w:t>
      </w:r>
      <w:r>
        <w:rPr>
          <w:rFonts w:ascii="宋体" w:hAnsi="宋体"/>
          <w:sz w:val="24"/>
          <w:szCs w:val="24"/>
        </w:rPr>
        <w:t>3</w:t>
      </w:r>
      <w:r>
        <w:rPr>
          <w:rFonts w:hint="eastAsia" w:ascii="宋体" w:hAnsi="宋体"/>
          <w:sz w:val="24"/>
          <w:szCs w:val="24"/>
        </w:rPr>
        <w:t>）所有主持或参与课题排名均应以申报书原件证实，否则不得加分。（</w:t>
      </w:r>
      <w:r>
        <w:rPr>
          <w:rFonts w:ascii="宋体" w:hAnsi="宋体"/>
          <w:sz w:val="24"/>
          <w:szCs w:val="24"/>
        </w:rPr>
        <w:t>4</w:t>
      </w:r>
      <w:r>
        <w:rPr>
          <w:rFonts w:hint="eastAsia" w:ascii="宋体" w:hAnsi="宋体"/>
          <w:sz w:val="24"/>
          <w:szCs w:val="24"/>
        </w:rPr>
        <w:t>）未结题的课题项目×</w:t>
      </w:r>
      <w:r>
        <w:rPr>
          <w:rFonts w:ascii="宋体"/>
          <w:sz w:val="24"/>
          <w:szCs w:val="24"/>
        </w:rPr>
        <w:t>0.</w:t>
      </w:r>
      <w:r>
        <w:rPr>
          <w:rFonts w:ascii="宋体" w:hAnsi="宋体"/>
          <w:sz w:val="24"/>
          <w:szCs w:val="24"/>
        </w:rPr>
        <w:t>8</w:t>
      </w:r>
      <w:r>
        <w:rPr>
          <w:rFonts w:hint="eastAsia" w:ascii="宋体" w:hAnsi="宋体"/>
          <w:sz w:val="24"/>
          <w:szCs w:val="24"/>
        </w:rPr>
        <w:t>。（</w:t>
      </w:r>
      <w:r>
        <w:rPr>
          <w:rFonts w:ascii="宋体" w:hAnsi="宋体"/>
          <w:sz w:val="24"/>
          <w:szCs w:val="24"/>
        </w:rPr>
        <w:t>5</w:t>
      </w:r>
      <w:r>
        <w:rPr>
          <w:rFonts w:hint="eastAsia" w:ascii="宋体" w:hAnsi="宋体"/>
          <w:sz w:val="24"/>
          <w:szCs w:val="24"/>
        </w:rPr>
        <w:t>）同一科研成果不能在两个测评学年内重复使用。</w:t>
      </w:r>
    </w:p>
    <w:p>
      <w:pPr>
        <w:pStyle w:val="3"/>
        <w:jc w:val="center"/>
      </w:pPr>
      <w:r>
        <w:rPr>
          <w:rFonts w:hint="eastAsia"/>
        </w:rPr>
        <w:t>第三章</w:t>
      </w:r>
      <w:r>
        <w:t xml:space="preserve">  </w:t>
      </w:r>
      <w:r>
        <w:rPr>
          <w:rFonts w:hint="eastAsia"/>
        </w:rPr>
        <w:t>组织实施</w:t>
      </w:r>
    </w:p>
    <w:p>
      <w:pPr>
        <w:pageBreakBefore w:val="0"/>
        <w:widowControl/>
        <w:kinsoku/>
        <w:wordWrap/>
        <w:overflowPunct/>
        <w:topLinePunct w:val="0"/>
        <w:autoSpaceDE/>
        <w:autoSpaceDN/>
        <w:bidi w:val="0"/>
        <w:adjustRightInd/>
        <w:snapToGrid/>
        <w:spacing w:line="336" w:lineRule="auto"/>
        <w:ind w:firstLine="562" w:firstLineChars="200"/>
        <w:jc w:val="left"/>
        <w:textAlignment w:val="auto"/>
        <w:rPr>
          <w:rFonts w:ascii="宋体" w:cs="宋体"/>
          <w:kern w:val="0"/>
          <w:sz w:val="28"/>
          <w:szCs w:val="28"/>
        </w:rPr>
      </w:pPr>
      <w:r>
        <w:rPr>
          <w:rFonts w:hint="eastAsia" w:ascii="宋体" w:hAnsi="宋体" w:cs="宋体"/>
          <w:b/>
          <w:sz w:val="28"/>
          <w:szCs w:val="28"/>
        </w:rPr>
        <w:t>第九条</w:t>
      </w:r>
      <w:r>
        <w:rPr>
          <w:rFonts w:ascii="宋体" w:hAnsi="宋体" w:cs="宋体"/>
          <w:sz w:val="28"/>
          <w:szCs w:val="28"/>
        </w:rPr>
        <w:t xml:space="preserve"> </w:t>
      </w:r>
      <w:r>
        <w:rPr>
          <w:rFonts w:hint="eastAsia" w:ascii="宋体" w:hAnsi="宋体" w:cs="宋体"/>
          <w:kern w:val="0"/>
          <w:sz w:val="28"/>
          <w:szCs w:val="28"/>
        </w:rPr>
        <w:t>每学年开学前一个月内对研究生进行综合素质测评。</w:t>
      </w:r>
    </w:p>
    <w:p>
      <w:pPr>
        <w:pageBreakBefore w:val="0"/>
        <w:widowControl/>
        <w:kinsoku/>
        <w:wordWrap/>
        <w:overflowPunct/>
        <w:topLinePunct w:val="0"/>
        <w:autoSpaceDE/>
        <w:autoSpaceDN/>
        <w:bidi w:val="0"/>
        <w:adjustRightInd/>
        <w:snapToGrid/>
        <w:spacing w:line="336" w:lineRule="auto"/>
        <w:ind w:firstLine="562" w:firstLineChars="200"/>
        <w:jc w:val="left"/>
        <w:textAlignment w:val="auto"/>
        <w:rPr>
          <w:rFonts w:ascii="宋体" w:cs="宋体"/>
          <w:kern w:val="0"/>
          <w:sz w:val="28"/>
          <w:szCs w:val="28"/>
        </w:rPr>
      </w:pPr>
      <w:r>
        <w:rPr>
          <w:rFonts w:hint="eastAsia" w:ascii="宋体" w:hAnsi="宋体" w:cs="宋体"/>
          <w:b/>
          <w:sz w:val="28"/>
          <w:szCs w:val="28"/>
        </w:rPr>
        <w:t>第十条</w:t>
      </w:r>
      <w:r>
        <w:rPr>
          <w:rFonts w:ascii="宋体" w:hAnsi="宋体" w:cs="宋体"/>
          <w:sz w:val="28"/>
          <w:szCs w:val="28"/>
        </w:rPr>
        <w:t xml:space="preserve"> </w:t>
      </w:r>
      <w:r>
        <w:rPr>
          <w:rFonts w:hint="eastAsia" w:ascii="宋体" w:hAnsi="宋体" w:cs="宋体"/>
          <w:kern w:val="0"/>
          <w:sz w:val="28"/>
          <w:szCs w:val="28"/>
        </w:rPr>
        <w:t>评定程序：年度综合测评工作由学院主管学生工作的书记负责组织开展，成立学院研究生综合测评工作小组，成员包括：学院书记、分管研究生副院长、研究生导师代表、研究生辅导员、研究生教学秘书、研究生代表。具体测评工作由各班级组织实施，成立班级（年级）测评小组，成员包括：辅导员、班长、党支部委员、团支部委员、通过民主推荐的普通学生代表（比例不超过学生总数的</w:t>
      </w:r>
      <w:r>
        <w:rPr>
          <w:rFonts w:ascii="宋体" w:hAnsi="宋体" w:cs="宋体"/>
          <w:kern w:val="0"/>
          <w:sz w:val="28"/>
          <w:szCs w:val="28"/>
        </w:rPr>
        <w:t>10</w:t>
      </w:r>
      <w:r>
        <w:rPr>
          <w:rFonts w:hint="eastAsia" w:ascii="宋体" w:hAnsi="宋体" w:cs="宋体"/>
          <w:kern w:val="0"/>
          <w:sz w:val="28"/>
          <w:szCs w:val="28"/>
        </w:rPr>
        <w:t>％）。</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cs="宋体"/>
          <w:sz w:val="28"/>
          <w:szCs w:val="28"/>
        </w:rPr>
      </w:pPr>
      <w:r>
        <w:rPr>
          <w:rFonts w:hint="eastAsia" w:ascii="宋体" w:hAnsi="宋体" w:cs="宋体"/>
          <w:sz w:val="28"/>
          <w:szCs w:val="28"/>
        </w:rPr>
        <w:t>各班级（年级）组织民主推荐参加综合测评工作的普通学生代表。</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cs="宋体"/>
          <w:sz w:val="28"/>
          <w:szCs w:val="28"/>
        </w:rPr>
      </w:pPr>
      <w:r>
        <w:rPr>
          <w:rFonts w:hint="eastAsia" w:ascii="宋体" w:hAnsi="宋体" w:cs="宋体"/>
          <w:sz w:val="28"/>
          <w:szCs w:val="28"/>
        </w:rPr>
        <w:t>各班级组织参评学生认真、如实填报《浙江工商大学</w:t>
      </w:r>
      <w:r>
        <w:rPr>
          <w:rFonts w:hint="eastAsia" w:ascii="宋体" w:hAnsi="宋体" w:cs="宋体"/>
          <w:sz w:val="28"/>
          <w:szCs w:val="28"/>
          <w:lang w:eastAsia="zh-CN"/>
        </w:rPr>
        <w:t>旅游与城乡规划学院</w:t>
      </w:r>
      <w:r>
        <w:rPr>
          <w:rFonts w:hint="eastAsia" w:ascii="宋体" w:hAnsi="宋体" w:cs="宋体"/>
          <w:sz w:val="28"/>
          <w:szCs w:val="28"/>
        </w:rPr>
        <w:t>研究生综合素质测评表》，并提交相关证明材料。</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班级（年级）测评小组对学生所提交的测评表和证明材料进行审核，确认其真实有效性，并核对每位同学的各项得分级测评总分。固定加、减分项目及分值比例。</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班级（年级）测评小组采取集体评议形式对本测评方法未明确项目进行综合评价确定加减分及分值比例。</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将测评表反馈给学生本人签字确认。</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汇总测评分数及相关资料，在学院网站专题公示，接受意见反馈，对有异议的项目重新进行审核，做好解释工作。</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公示期届满，由辅导员对测评表、汇总表及相关证明材料签字确认，经由学院综合测评工作小组审核批准后，存档并报送校研究生处。</w:t>
      </w:r>
    </w:p>
    <w:p>
      <w:pPr>
        <w:pStyle w:val="3"/>
        <w:pageBreakBefore w:val="0"/>
        <w:kinsoku/>
        <w:wordWrap/>
        <w:overflowPunct/>
        <w:topLinePunct w:val="0"/>
        <w:autoSpaceDE/>
        <w:autoSpaceDN/>
        <w:bidi w:val="0"/>
        <w:adjustRightInd/>
        <w:snapToGrid/>
        <w:spacing w:before="0" w:after="0" w:line="336" w:lineRule="auto"/>
        <w:jc w:val="center"/>
        <w:textAlignment w:val="auto"/>
      </w:pPr>
      <w:r>
        <w:rPr>
          <w:rFonts w:hint="eastAsia"/>
        </w:rPr>
        <w:t>第四章</w:t>
      </w:r>
      <w:r>
        <w:t xml:space="preserve">  </w:t>
      </w:r>
      <w:r>
        <w:rPr>
          <w:rFonts w:hint="eastAsia"/>
        </w:rPr>
        <w:t>附</w:t>
      </w:r>
      <w:r>
        <w:t xml:space="preserve"> </w:t>
      </w:r>
      <w:r>
        <w:rPr>
          <w:rFonts w:hint="eastAsia"/>
        </w:rPr>
        <w:t>则</w:t>
      </w:r>
    </w:p>
    <w:p>
      <w:pPr>
        <w:pageBreakBefore w:val="0"/>
        <w:kinsoku/>
        <w:wordWrap/>
        <w:overflowPunct/>
        <w:topLinePunct w:val="0"/>
        <w:autoSpaceDE/>
        <w:autoSpaceDN/>
        <w:bidi w:val="0"/>
        <w:adjustRightInd/>
        <w:snapToGrid/>
        <w:spacing w:line="336" w:lineRule="auto"/>
        <w:ind w:firstLine="422" w:firstLineChars="150"/>
        <w:textAlignment w:val="auto"/>
        <w:rPr>
          <w:rFonts w:ascii="宋体"/>
          <w:sz w:val="28"/>
          <w:szCs w:val="28"/>
        </w:rPr>
      </w:pPr>
      <w:r>
        <w:rPr>
          <w:rFonts w:hint="eastAsia" w:ascii="宋体" w:hAnsi="宋体"/>
          <w:b/>
          <w:sz w:val="28"/>
          <w:szCs w:val="28"/>
        </w:rPr>
        <w:t>第十一条</w:t>
      </w:r>
      <w:r>
        <w:rPr>
          <w:rFonts w:ascii="宋体" w:hAnsi="宋体"/>
          <w:b/>
          <w:sz w:val="28"/>
          <w:szCs w:val="28"/>
        </w:rPr>
        <w:t xml:space="preserve"> </w:t>
      </w:r>
      <w:r>
        <w:rPr>
          <w:rFonts w:hint="eastAsia" w:ascii="宋体" w:hAnsi="宋体"/>
          <w:sz w:val="28"/>
          <w:szCs w:val="28"/>
        </w:rPr>
        <w:t>学生素质测评结果是研究生在校期间思想、学习、生活和个性发展的综合反映，作为整体它是衡量学校教育成效的标尺。学生综合素质测评成绩将作为学生申报和评定国家奖学金、专项奖学金等各类奖学金，以及“三好学生”、“优秀研究生干部”和“优秀研究生毕业生”等荣誉的主要依据，同时，也是就业选择时学校向用人单位推荐次序的重要依据。</w:t>
      </w:r>
    </w:p>
    <w:p>
      <w:pPr>
        <w:pageBreakBefore w:val="0"/>
        <w:kinsoku/>
        <w:wordWrap/>
        <w:overflowPunct/>
        <w:topLinePunct w:val="0"/>
        <w:autoSpaceDE/>
        <w:autoSpaceDN/>
        <w:bidi w:val="0"/>
        <w:adjustRightInd/>
        <w:snapToGrid/>
        <w:spacing w:line="336" w:lineRule="auto"/>
        <w:ind w:firstLine="422" w:firstLineChars="150"/>
        <w:textAlignment w:val="auto"/>
        <w:rPr>
          <w:rFonts w:ascii="宋体"/>
          <w:sz w:val="28"/>
          <w:szCs w:val="28"/>
        </w:rPr>
      </w:pPr>
      <w:r>
        <w:rPr>
          <w:rFonts w:hint="eastAsia" w:ascii="宋体" w:hAnsi="宋体"/>
          <w:b/>
          <w:sz w:val="28"/>
          <w:szCs w:val="28"/>
        </w:rPr>
        <w:t>第十二条</w:t>
      </w:r>
      <w:r>
        <w:rPr>
          <w:rFonts w:ascii="宋体" w:hAnsi="宋体"/>
          <w:sz w:val="28"/>
          <w:szCs w:val="28"/>
        </w:rPr>
        <w:t xml:space="preserve"> </w:t>
      </w:r>
      <w:r>
        <w:rPr>
          <w:rFonts w:hint="eastAsia" w:ascii="宋体" w:hAnsi="宋体"/>
          <w:sz w:val="28"/>
          <w:szCs w:val="28"/>
        </w:rPr>
        <w:t>学生的《研究生综合素质测评表》加盖学院公章，放入学生本人档案。</w:t>
      </w:r>
    </w:p>
    <w:p>
      <w:pPr>
        <w:pageBreakBefore w:val="0"/>
        <w:kinsoku/>
        <w:wordWrap/>
        <w:overflowPunct/>
        <w:topLinePunct w:val="0"/>
        <w:autoSpaceDE/>
        <w:autoSpaceDN/>
        <w:bidi w:val="0"/>
        <w:adjustRightInd/>
        <w:snapToGrid/>
        <w:spacing w:line="336" w:lineRule="auto"/>
        <w:ind w:firstLine="422" w:firstLineChars="150"/>
        <w:textAlignment w:val="auto"/>
        <w:rPr>
          <w:rFonts w:ascii="宋体"/>
          <w:sz w:val="24"/>
          <w:szCs w:val="24"/>
        </w:rPr>
      </w:pPr>
      <w:r>
        <w:rPr>
          <w:rFonts w:hint="eastAsia" w:ascii="宋体" w:hAnsi="宋体"/>
          <w:b/>
          <w:sz w:val="28"/>
          <w:szCs w:val="28"/>
        </w:rPr>
        <w:t>第十三条</w:t>
      </w:r>
      <w:r>
        <w:rPr>
          <w:rFonts w:ascii="宋体" w:hAnsi="宋体"/>
          <w:b/>
          <w:sz w:val="28"/>
          <w:szCs w:val="28"/>
        </w:rPr>
        <w:t xml:space="preserve"> </w:t>
      </w:r>
      <w:r>
        <w:rPr>
          <w:rFonts w:hint="eastAsia" w:ascii="宋体" w:hAnsi="宋体"/>
          <w:sz w:val="28"/>
          <w:szCs w:val="28"/>
        </w:rPr>
        <w:t>本办法自</w:t>
      </w:r>
      <w:r>
        <w:rPr>
          <w:rFonts w:ascii="宋体" w:hAnsi="宋体"/>
          <w:sz w:val="28"/>
          <w:szCs w:val="28"/>
        </w:rPr>
        <w:t>201</w:t>
      </w:r>
      <w:r>
        <w:rPr>
          <w:rFonts w:hint="eastAsia" w:ascii="宋体" w:hAnsi="宋体"/>
          <w:sz w:val="28"/>
          <w:szCs w:val="28"/>
          <w:lang w:val="en-US" w:eastAsia="zh-CN"/>
        </w:rPr>
        <w:t>6</w:t>
      </w:r>
      <w:r>
        <w:rPr>
          <w:rFonts w:hint="eastAsia" w:ascii="宋体" w:hAnsi="宋体"/>
          <w:sz w:val="28"/>
          <w:szCs w:val="28"/>
        </w:rPr>
        <w:t>年</w:t>
      </w:r>
      <w:r>
        <w:rPr>
          <w:rFonts w:ascii="宋体" w:hAnsi="宋体"/>
          <w:sz w:val="28"/>
          <w:szCs w:val="28"/>
        </w:rPr>
        <w:t>9</w:t>
      </w:r>
      <w:r>
        <w:rPr>
          <w:rFonts w:hint="eastAsia" w:ascii="宋体" w:hAnsi="宋体"/>
          <w:sz w:val="28"/>
          <w:szCs w:val="28"/>
        </w:rPr>
        <w:t>月起施行，由学院学生工作办公室负责解释。</w:t>
      </w:r>
    </w:p>
    <w:p>
      <w:pPr>
        <w:pageBreakBefore w:val="0"/>
        <w:kinsoku/>
        <w:wordWrap/>
        <w:overflowPunct/>
        <w:topLinePunct w:val="0"/>
        <w:autoSpaceDE/>
        <w:autoSpaceDN/>
        <w:bidi w:val="0"/>
        <w:adjustRightInd/>
        <w:snapToGrid/>
        <w:spacing w:line="240" w:lineRule="auto"/>
        <w:ind w:firstLine="422" w:firstLineChars="150"/>
        <w:jc w:val="center"/>
        <w:textAlignment w:val="auto"/>
        <w:rPr>
          <w:rFonts w:ascii="宋体"/>
          <w:b/>
          <w:bCs/>
          <w:sz w:val="28"/>
          <w:szCs w:val="28"/>
        </w:rPr>
      </w:pPr>
      <w:r>
        <w:rPr>
          <w:rFonts w:ascii="宋体" w:hAnsi="宋体"/>
          <w:b/>
          <w:bCs/>
          <w:sz w:val="28"/>
          <w:szCs w:val="28"/>
        </w:rPr>
        <w:t xml:space="preserve">                                      </w:t>
      </w:r>
      <w:r>
        <w:rPr>
          <w:rFonts w:hint="eastAsia" w:ascii="宋体" w:hAnsi="宋体"/>
          <w:b/>
          <w:bCs/>
          <w:sz w:val="28"/>
          <w:szCs w:val="28"/>
          <w:lang w:eastAsia="zh-CN"/>
        </w:rPr>
        <w:t>旅游与城乡规划学院</w:t>
      </w:r>
    </w:p>
    <w:p>
      <w:pPr>
        <w:pageBreakBefore w:val="0"/>
        <w:kinsoku/>
        <w:wordWrap/>
        <w:overflowPunct/>
        <w:topLinePunct w:val="0"/>
        <w:autoSpaceDE/>
        <w:autoSpaceDN/>
        <w:bidi w:val="0"/>
        <w:adjustRightInd/>
        <w:snapToGrid/>
        <w:spacing w:line="240" w:lineRule="auto"/>
        <w:ind w:firstLine="422" w:firstLineChars="150"/>
        <w:jc w:val="center"/>
        <w:textAlignment w:val="auto"/>
        <w:rPr>
          <w:rFonts w:ascii="宋体"/>
          <w:sz w:val="28"/>
          <w:szCs w:val="28"/>
        </w:rPr>
      </w:pPr>
      <w:r>
        <w:rPr>
          <w:rFonts w:ascii="宋体" w:hAnsi="宋体"/>
          <w:b/>
          <w:bCs/>
          <w:sz w:val="28"/>
          <w:szCs w:val="28"/>
        </w:rPr>
        <w:t xml:space="preserve">                                       20</w:t>
      </w:r>
      <w:r>
        <w:rPr>
          <w:rFonts w:hint="eastAsia" w:ascii="宋体" w:hAnsi="宋体"/>
          <w:b/>
          <w:bCs/>
          <w:sz w:val="28"/>
          <w:szCs w:val="28"/>
          <w:lang w:val="en-US" w:eastAsia="zh-CN"/>
        </w:rPr>
        <w:t>22</w:t>
      </w:r>
      <w:r>
        <w:rPr>
          <w:rFonts w:hint="eastAsia" w:ascii="宋体" w:hAnsi="宋体"/>
          <w:b/>
          <w:bCs/>
          <w:sz w:val="28"/>
          <w:szCs w:val="28"/>
        </w:rPr>
        <w:t>年</w:t>
      </w:r>
      <w:r>
        <w:rPr>
          <w:rFonts w:hint="eastAsia" w:ascii="宋体" w:hAnsi="宋体"/>
          <w:b/>
          <w:bCs/>
          <w:sz w:val="28"/>
          <w:szCs w:val="28"/>
          <w:lang w:val="en-US" w:eastAsia="zh-CN"/>
        </w:rPr>
        <w:t>9</w:t>
      </w:r>
      <w:r>
        <w:rPr>
          <w:rFonts w:hint="eastAsia" w:ascii="宋体" w:hAnsi="宋体"/>
          <w:b/>
          <w:bCs/>
          <w:sz w:val="28"/>
          <w:szCs w:val="28"/>
        </w:rPr>
        <w:t>月</w:t>
      </w:r>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FPEF">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0507E"/>
    <w:multiLevelType w:val="singleLevel"/>
    <w:tmpl w:val="5490507E"/>
    <w:lvl w:ilvl="0" w:tentative="0">
      <w:start w:val="1"/>
      <w:numFmt w:val="chineseCounting"/>
      <w:suff w:val="nothing"/>
      <w:lvlText w:val="%1、"/>
      <w:lvlJc w:val="left"/>
      <w:pPr>
        <w:ind w:firstLine="420"/>
      </w:pPr>
      <w:rPr>
        <w:rFonts w:hint="eastAsia" w:cs="Times New Roman"/>
      </w:rPr>
    </w:lvl>
  </w:abstractNum>
  <w:abstractNum w:abstractNumId="1">
    <w:nsid w:val="54918669"/>
    <w:multiLevelType w:val="singleLevel"/>
    <w:tmpl w:val="54918669"/>
    <w:lvl w:ilvl="0" w:tentative="0">
      <w:start w:val="2"/>
      <w:numFmt w:val="decimal"/>
      <w:suff w:val="nothing"/>
      <w:lvlText w:val="%1."/>
      <w:lvlJc w:val="left"/>
      <w:rPr>
        <w:rFonts w:cs="Times New Roman"/>
      </w:rPr>
    </w:lvl>
  </w:abstractNum>
  <w:abstractNum w:abstractNumId="2">
    <w:nsid w:val="57FEE595"/>
    <w:multiLevelType w:val="singleLevel"/>
    <w:tmpl w:val="57FEE595"/>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QwNzI1MWYyNWFiMDhmNGI3ZjBiMWUxOGIyMmYxMTEifQ=="/>
  </w:docVars>
  <w:rsids>
    <w:rsidRoot w:val="00FA5E3E"/>
    <w:rsid w:val="00010B05"/>
    <w:rsid w:val="00011B49"/>
    <w:rsid w:val="00051A6C"/>
    <w:rsid w:val="00053ACE"/>
    <w:rsid w:val="000630DE"/>
    <w:rsid w:val="000631C4"/>
    <w:rsid w:val="00072AFD"/>
    <w:rsid w:val="0007598E"/>
    <w:rsid w:val="00083166"/>
    <w:rsid w:val="00095D79"/>
    <w:rsid w:val="000968AC"/>
    <w:rsid w:val="000A3B65"/>
    <w:rsid w:val="000B0A2C"/>
    <w:rsid w:val="000B6E46"/>
    <w:rsid w:val="000C1E2E"/>
    <w:rsid w:val="000C2F0D"/>
    <w:rsid w:val="000E5FA6"/>
    <w:rsid w:val="0010011F"/>
    <w:rsid w:val="00133619"/>
    <w:rsid w:val="00134D5F"/>
    <w:rsid w:val="00136370"/>
    <w:rsid w:val="00137FA3"/>
    <w:rsid w:val="001602D0"/>
    <w:rsid w:val="00166D69"/>
    <w:rsid w:val="00186406"/>
    <w:rsid w:val="0018771D"/>
    <w:rsid w:val="0019194B"/>
    <w:rsid w:val="001921FB"/>
    <w:rsid w:val="00195730"/>
    <w:rsid w:val="001A74EC"/>
    <w:rsid w:val="001D1124"/>
    <w:rsid w:val="001F701E"/>
    <w:rsid w:val="00203702"/>
    <w:rsid w:val="00204C50"/>
    <w:rsid w:val="0020611C"/>
    <w:rsid w:val="00226C81"/>
    <w:rsid w:val="00232B92"/>
    <w:rsid w:val="00244798"/>
    <w:rsid w:val="002674D1"/>
    <w:rsid w:val="002716C7"/>
    <w:rsid w:val="00272401"/>
    <w:rsid w:val="002761DB"/>
    <w:rsid w:val="00296639"/>
    <w:rsid w:val="002A65C3"/>
    <w:rsid w:val="002B526F"/>
    <w:rsid w:val="002E0C68"/>
    <w:rsid w:val="002E47E5"/>
    <w:rsid w:val="00304A05"/>
    <w:rsid w:val="00310314"/>
    <w:rsid w:val="003126F2"/>
    <w:rsid w:val="00330999"/>
    <w:rsid w:val="00340791"/>
    <w:rsid w:val="00351339"/>
    <w:rsid w:val="003522B0"/>
    <w:rsid w:val="00355239"/>
    <w:rsid w:val="00360413"/>
    <w:rsid w:val="00361248"/>
    <w:rsid w:val="00384B5C"/>
    <w:rsid w:val="003854D5"/>
    <w:rsid w:val="0039452F"/>
    <w:rsid w:val="003A0EF9"/>
    <w:rsid w:val="003B065D"/>
    <w:rsid w:val="003C6413"/>
    <w:rsid w:val="003D1192"/>
    <w:rsid w:val="003E2858"/>
    <w:rsid w:val="003E42EB"/>
    <w:rsid w:val="003E5A01"/>
    <w:rsid w:val="003E7FEE"/>
    <w:rsid w:val="003F29F4"/>
    <w:rsid w:val="004160A2"/>
    <w:rsid w:val="00421B17"/>
    <w:rsid w:val="00424809"/>
    <w:rsid w:val="004268B1"/>
    <w:rsid w:val="0042784D"/>
    <w:rsid w:val="004452F9"/>
    <w:rsid w:val="00472073"/>
    <w:rsid w:val="0048419D"/>
    <w:rsid w:val="00487450"/>
    <w:rsid w:val="004902F3"/>
    <w:rsid w:val="00496546"/>
    <w:rsid w:val="004B09AB"/>
    <w:rsid w:val="004B0F0D"/>
    <w:rsid w:val="004B7A50"/>
    <w:rsid w:val="004E38D2"/>
    <w:rsid w:val="005223B8"/>
    <w:rsid w:val="0053266D"/>
    <w:rsid w:val="0053455C"/>
    <w:rsid w:val="00540A10"/>
    <w:rsid w:val="00562B8D"/>
    <w:rsid w:val="0056512D"/>
    <w:rsid w:val="00565E67"/>
    <w:rsid w:val="00587FF5"/>
    <w:rsid w:val="00590682"/>
    <w:rsid w:val="005D1B6A"/>
    <w:rsid w:val="005D6C4E"/>
    <w:rsid w:val="005E66B9"/>
    <w:rsid w:val="00601648"/>
    <w:rsid w:val="00613AEA"/>
    <w:rsid w:val="00621583"/>
    <w:rsid w:val="00625422"/>
    <w:rsid w:val="00637AE8"/>
    <w:rsid w:val="00645FC8"/>
    <w:rsid w:val="006532E5"/>
    <w:rsid w:val="00661286"/>
    <w:rsid w:val="0067189F"/>
    <w:rsid w:val="00672EC8"/>
    <w:rsid w:val="00685C8D"/>
    <w:rsid w:val="00685D9E"/>
    <w:rsid w:val="00696514"/>
    <w:rsid w:val="006A10BB"/>
    <w:rsid w:val="006A79A8"/>
    <w:rsid w:val="006B4A33"/>
    <w:rsid w:val="006B6CF1"/>
    <w:rsid w:val="006C5B8F"/>
    <w:rsid w:val="006D19F3"/>
    <w:rsid w:val="006E1C7E"/>
    <w:rsid w:val="006F7F07"/>
    <w:rsid w:val="007012EB"/>
    <w:rsid w:val="00711179"/>
    <w:rsid w:val="007522E1"/>
    <w:rsid w:val="00752614"/>
    <w:rsid w:val="007625D0"/>
    <w:rsid w:val="00770520"/>
    <w:rsid w:val="007A04E2"/>
    <w:rsid w:val="007A175A"/>
    <w:rsid w:val="007A63CE"/>
    <w:rsid w:val="007B0829"/>
    <w:rsid w:val="007C2CCE"/>
    <w:rsid w:val="007D4B72"/>
    <w:rsid w:val="007E3244"/>
    <w:rsid w:val="007E4818"/>
    <w:rsid w:val="0080237E"/>
    <w:rsid w:val="00805B7F"/>
    <w:rsid w:val="00806F89"/>
    <w:rsid w:val="008331D0"/>
    <w:rsid w:val="00842141"/>
    <w:rsid w:val="00870F6C"/>
    <w:rsid w:val="008711A6"/>
    <w:rsid w:val="00881244"/>
    <w:rsid w:val="00881EBA"/>
    <w:rsid w:val="0089082E"/>
    <w:rsid w:val="00892580"/>
    <w:rsid w:val="008C0E5A"/>
    <w:rsid w:val="008C1ED1"/>
    <w:rsid w:val="008C1F28"/>
    <w:rsid w:val="008D2F11"/>
    <w:rsid w:val="008E0A0A"/>
    <w:rsid w:val="00902635"/>
    <w:rsid w:val="00916CB0"/>
    <w:rsid w:val="00921649"/>
    <w:rsid w:val="00923005"/>
    <w:rsid w:val="009251DC"/>
    <w:rsid w:val="009258AC"/>
    <w:rsid w:val="00925B51"/>
    <w:rsid w:val="0093106C"/>
    <w:rsid w:val="00934BCB"/>
    <w:rsid w:val="00944B59"/>
    <w:rsid w:val="00945EAE"/>
    <w:rsid w:val="00964F06"/>
    <w:rsid w:val="00965A94"/>
    <w:rsid w:val="00971828"/>
    <w:rsid w:val="00975F2B"/>
    <w:rsid w:val="009828EF"/>
    <w:rsid w:val="009848C0"/>
    <w:rsid w:val="009B4404"/>
    <w:rsid w:val="009C2F91"/>
    <w:rsid w:val="009D567E"/>
    <w:rsid w:val="009D659A"/>
    <w:rsid w:val="009D7EE0"/>
    <w:rsid w:val="009E0CD8"/>
    <w:rsid w:val="009E6F31"/>
    <w:rsid w:val="009F13F3"/>
    <w:rsid w:val="00A0390B"/>
    <w:rsid w:val="00A10933"/>
    <w:rsid w:val="00A307D5"/>
    <w:rsid w:val="00A33CC0"/>
    <w:rsid w:val="00A3441B"/>
    <w:rsid w:val="00A50319"/>
    <w:rsid w:val="00A51D9E"/>
    <w:rsid w:val="00A5231D"/>
    <w:rsid w:val="00A62C81"/>
    <w:rsid w:val="00A72F63"/>
    <w:rsid w:val="00A77AF3"/>
    <w:rsid w:val="00A84D78"/>
    <w:rsid w:val="00AA5DB9"/>
    <w:rsid w:val="00AB3068"/>
    <w:rsid w:val="00AC3E74"/>
    <w:rsid w:val="00AE75F9"/>
    <w:rsid w:val="00B212FF"/>
    <w:rsid w:val="00B34F27"/>
    <w:rsid w:val="00B36174"/>
    <w:rsid w:val="00B51DC1"/>
    <w:rsid w:val="00B539E1"/>
    <w:rsid w:val="00B6226C"/>
    <w:rsid w:val="00B64DC3"/>
    <w:rsid w:val="00B73D51"/>
    <w:rsid w:val="00B84E33"/>
    <w:rsid w:val="00BA6298"/>
    <w:rsid w:val="00BB2551"/>
    <w:rsid w:val="00BB3725"/>
    <w:rsid w:val="00BC02EE"/>
    <w:rsid w:val="00BD297D"/>
    <w:rsid w:val="00BD545F"/>
    <w:rsid w:val="00BE4161"/>
    <w:rsid w:val="00BE76CD"/>
    <w:rsid w:val="00C06CD9"/>
    <w:rsid w:val="00C10720"/>
    <w:rsid w:val="00C1154D"/>
    <w:rsid w:val="00C26A8A"/>
    <w:rsid w:val="00C33DF5"/>
    <w:rsid w:val="00C4242C"/>
    <w:rsid w:val="00C45ADA"/>
    <w:rsid w:val="00C50DCC"/>
    <w:rsid w:val="00C64335"/>
    <w:rsid w:val="00C6505D"/>
    <w:rsid w:val="00C65EC0"/>
    <w:rsid w:val="00C946F8"/>
    <w:rsid w:val="00C95E52"/>
    <w:rsid w:val="00CB577F"/>
    <w:rsid w:val="00CD6605"/>
    <w:rsid w:val="00D0458F"/>
    <w:rsid w:val="00D1498B"/>
    <w:rsid w:val="00D33CDC"/>
    <w:rsid w:val="00D35DD4"/>
    <w:rsid w:val="00D446FA"/>
    <w:rsid w:val="00D474C1"/>
    <w:rsid w:val="00D554F2"/>
    <w:rsid w:val="00D61C90"/>
    <w:rsid w:val="00D739AF"/>
    <w:rsid w:val="00D96D3C"/>
    <w:rsid w:val="00DA4F27"/>
    <w:rsid w:val="00DA5BF6"/>
    <w:rsid w:val="00DC08DE"/>
    <w:rsid w:val="00DC3E4C"/>
    <w:rsid w:val="00DD29E1"/>
    <w:rsid w:val="00DE5459"/>
    <w:rsid w:val="00DF3AC7"/>
    <w:rsid w:val="00E05E11"/>
    <w:rsid w:val="00E220CC"/>
    <w:rsid w:val="00E24858"/>
    <w:rsid w:val="00E25579"/>
    <w:rsid w:val="00E458EB"/>
    <w:rsid w:val="00E53D30"/>
    <w:rsid w:val="00E61CDC"/>
    <w:rsid w:val="00E67FB8"/>
    <w:rsid w:val="00E7247E"/>
    <w:rsid w:val="00E81137"/>
    <w:rsid w:val="00E9040B"/>
    <w:rsid w:val="00E9479D"/>
    <w:rsid w:val="00EA50F0"/>
    <w:rsid w:val="00EA5FE5"/>
    <w:rsid w:val="00EC6584"/>
    <w:rsid w:val="00EF2CC0"/>
    <w:rsid w:val="00F05008"/>
    <w:rsid w:val="00F074AE"/>
    <w:rsid w:val="00F2773E"/>
    <w:rsid w:val="00F35B6A"/>
    <w:rsid w:val="00F45836"/>
    <w:rsid w:val="00F47818"/>
    <w:rsid w:val="00F70D5D"/>
    <w:rsid w:val="00F70FC8"/>
    <w:rsid w:val="00F71A0F"/>
    <w:rsid w:val="00F73370"/>
    <w:rsid w:val="00F83507"/>
    <w:rsid w:val="00F91A65"/>
    <w:rsid w:val="00F94438"/>
    <w:rsid w:val="00F956BE"/>
    <w:rsid w:val="00FA5E3E"/>
    <w:rsid w:val="00FA67BF"/>
    <w:rsid w:val="00FA7194"/>
    <w:rsid w:val="00FB3E52"/>
    <w:rsid w:val="00FD27B8"/>
    <w:rsid w:val="00FD3C04"/>
    <w:rsid w:val="00FD59B8"/>
    <w:rsid w:val="00FF5A60"/>
    <w:rsid w:val="00FF5E89"/>
    <w:rsid w:val="043C3E18"/>
    <w:rsid w:val="05D07899"/>
    <w:rsid w:val="06474F59"/>
    <w:rsid w:val="06A046EE"/>
    <w:rsid w:val="077211C3"/>
    <w:rsid w:val="0BE9356E"/>
    <w:rsid w:val="0CBB296F"/>
    <w:rsid w:val="0DEC0AE2"/>
    <w:rsid w:val="0E3756DF"/>
    <w:rsid w:val="10D053A3"/>
    <w:rsid w:val="12147FB8"/>
    <w:rsid w:val="12C90C36"/>
    <w:rsid w:val="13F743D9"/>
    <w:rsid w:val="141D7E12"/>
    <w:rsid w:val="14F05DE7"/>
    <w:rsid w:val="162A266C"/>
    <w:rsid w:val="195C3428"/>
    <w:rsid w:val="1B412B0F"/>
    <w:rsid w:val="1C4A4D75"/>
    <w:rsid w:val="1EA72655"/>
    <w:rsid w:val="1ED43525"/>
    <w:rsid w:val="1F5008F0"/>
    <w:rsid w:val="22380333"/>
    <w:rsid w:val="23736B49"/>
    <w:rsid w:val="24323260"/>
    <w:rsid w:val="248C3FAE"/>
    <w:rsid w:val="273264DD"/>
    <w:rsid w:val="28634650"/>
    <w:rsid w:val="2A081519"/>
    <w:rsid w:val="2A151A98"/>
    <w:rsid w:val="2E3D1E67"/>
    <w:rsid w:val="30235795"/>
    <w:rsid w:val="31534978"/>
    <w:rsid w:val="331B77E7"/>
    <w:rsid w:val="33814F8D"/>
    <w:rsid w:val="33A72C4E"/>
    <w:rsid w:val="37604858"/>
    <w:rsid w:val="37FA1627"/>
    <w:rsid w:val="3A6B5E65"/>
    <w:rsid w:val="3B356BB3"/>
    <w:rsid w:val="3E231A95"/>
    <w:rsid w:val="3EF1208D"/>
    <w:rsid w:val="3F402ED5"/>
    <w:rsid w:val="41180BBA"/>
    <w:rsid w:val="41E6662C"/>
    <w:rsid w:val="49FF57BD"/>
    <w:rsid w:val="4A8C2003"/>
    <w:rsid w:val="4D984820"/>
    <w:rsid w:val="4F342A81"/>
    <w:rsid w:val="50456608"/>
    <w:rsid w:val="507E7F53"/>
    <w:rsid w:val="51727AAD"/>
    <w:rsid w:val="54D15019"/>
    <w:rsid w:val="570D35E1"/>
    <w:rsid w:val="57C85F13"/>
    <w:rsid w:val="5B312A2C"/>
    <w:rsid w:val="5C152C9F"/>
    <w:rsid w:val="5C4D74A2"/>
    <w:rsid w:val="5D3312F3"/>
    <w:rsid w:val="5DAA43BA"/>
    <w:rsid w:val="5F2F41B6"/>
    <w:rsid w:val="5F7858AF"/>
    <w:rsid w:val="633330CC"/>
    <w:rsid w:val="63C65219"/>
    <w:rsid w:val="65D35F9E"/>
    <w:rsid w:val="675C6D26"/>
    <w:rsid w:val="68860A0A"/>
    <w:rsid w:val="71263532"/>
    <w:rsid w:val="73F90A51"/>
    <w:rsid w:val="760246AA"/>
    <w:rsid w:val="7CA606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3"/>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locked/>
    <w:uiPriority w:val="99"/>
    <w:pPr>
      <w:widowControl/>
      <w:spacing w:before="100" w:beforeAutospacing="1" w:after="100" w:afterAutospacing="1"/>
      <w:jc w:val="left"/>
    </w:pPr>
    <w:rPr>
      <w:rFonts w:ascii="宋体" w:hAnsi="宋体"/>
      <w:kern w:val="0"/>
      <w:sz w:val="24"/>
      <w:szCs w:val="24"/>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Heading 1 Char"/>
    <w:basedOn w:val="10"/>
    <w:link w:val="2"/>
    <w:qFormat/>
    <w:locked/>
    <w:uiPriority w:val="99"/>
    <w:rPr>
      <w:rFonts w:ascii="Times New Roman" w:hAnsi="Times New Roman" w:eastAsia="宋体" w:cs="Times New Roman"/>
      <w:b/>
      <w:bCs/>
      <w:kern w:val="44"/>
      <w:sz w:val="44"/>
      <w:szCs w:val="44"/>
    </w:rPr>
  </w:style>
  <w:style w:type="character" w:customStyle="1" w:styleId="13">
    <w:name w:val="Heading 2 Char"/>
    <w:basedOn w:val="10"/>
    <w:link w:val="3"/>
    <w:qFormat/>
    <w:locked/>
    <w:uiPriority w:val="99"/>
    <w:rPr>
      <w:rFonts w:ascii="Arial" w:hAnsi="Arial" w:eastAsia="黑体" w:cs="Times New Roman"/>
      <w:b/>
      <w:bCs/>
      <w:sz w:val="32"/>
      <w:szCs w:val="32"/>
    </w:rPr>
  </w:style>
  <w:style w:type="character" w:customStyle="1" w:styleId="14">
    <w:name w:val="Balloon Text Char"/>
    <w:basedOn w:val="10"/>
    <w:link w:val="4"/>
    <w:semiHidden/>
    <w:qFormat/>
    <w:locked/>
    <w:uiPriority w:val="99"/>
    <w:rPr>
      <w:rFonts w:cs="Times New Roman"/>
      <w:sz w:val="2"/>
    </w:rPr>
  </w:style>
  <w:style w:type="character" w:customStyle="1" w:styleId="15">
    <w:name w:val="Footer Char"/>
    <w:basedOn w:val="10"/>
    <w:link w:val="5"/>
    <w:semiHidden/>
    <w:qFormat/>
    <w:locked/>
    <w:uiPriority w:val="99"/>
    <w:rPr>
      <w:rFonts w:cs="Times New Roman"/>
      <w:sz w:val="18"/>
      <w:szCs w:val="18"/>
    </w:rPr>
  </w:style>
  <w:style w:type="character" w:customStyle="1" w:styleId="16">
    <w:name w:val="Header Char"/>
    <w:basedOn w:val="10"/>
    <w:link w:val="6"/>
    <w:semiHidden/>
    <w:qFormat/>
    <w:locked/>
    <w:uiPriority w:val="99"/>
    <w:rPr>
      <w:rFonts w:cs="Times New Roman"/>
      <w:sz w:val="18"/>
      <w:szCs w:val="18"/>
    </w:rPr>
  </w:style>
  <w:style w:type="paragraph" w:customStyle="1" w:styleId="17">
    <w:name w:val="List Paragraph1"/>
    <w:basedOn w:val="1"/>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5263</Words>
  <Characters>5675</Characters>
  <Lines>0</Lines>
  <Paragraphs>0</Paragraphs>
  <TotalTime>11</TotalTime>
  <ScaleCrop>false</ScaleCrop>
  <LinksUpToDate>false</LinksUpToDate>
  <CharactersWithSpaces>5790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2014-12-09T14:49:00Z</dcterms:created>
  <dc:creator>zss</dc:creator>
  <cp:lastModifiedBy>ltao</cp:lastModifiedBy>
  <cp:lastPrinted>2020-09-30T04:32:00Z</cp:lastPrinted>
  <dcterms:modified xsi:type="dcterms:W3CDTF">2022-09-30T03:42:51Z</dcterms:modified>
  <dc:title>浙江工商大学旅游与城市管理学院研究生综合素质测评</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439359DD92E14B0AB9350F571F22ADFD</vt:lpwstr>
  </property>
</Properties>
</file>